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ED" w:rsidRPr="002F41ED" w:rsidRDefault="002F41ED" w:rsidP="002F41ED">
      <w:pPr>
        <w:spacing w:after="200" w:line="276" w:lineRule="auto"/>
        <w:ind w:left="-900"/>
        <w:contextualSpacing/>
        <w:rPr>
          <w:rFonts w:ascii="Calibri" w:eastAsia="Times New Roman" w:hAnsi="Calibri" w:cs="Calibri"/>
          <w:b/>
          <w:sz w:val="32"/>
          <w:szCs w:val="32"/>
        </w:rPr>
      </w:pPr>
      <w:r w:rsidRPr="002F41ED">
        <w:rPr>
          <w:rFonts w:ascii="Calibri" w:eastAsia="Times New Roman" w:hAnsi="Calibri" w:cs="Calibri"/>
          <w:b/>
          <w:sz w:val="32"/>
          <w:szCs w:val="32"/>
        </w:rPr>
        <w:t xml:space="preserve">Title: </w:t>
      </w:r>
      <w:r w:rsidRPr="002F41ED">
        <w:rPr>
          <w:rFonts w:ascii="Calibri" w:eastAsia="Times New Roman" w:hAnsi="Calibri" w:cs="Calibri"/>
          <w:b/>
          <w:sz w:val="32"/>
          <w:szCs w:val="32"/>
        </w:rPr>
        <w:fldChar w:fldCharType="begin"/>
      </w:r>
      <w:r w:rsidRPr="002F41ED">
        <w:rPr>
          <w:rFonts w:ascii="Calibri" w:eastAsia="Times New Roman" w:hAnsi="Calibri" w:cs="Calibri"/>
          <w:b/>
          <w:sz w:val="32"/>
          <w:szCs w:val="32"/>
        </w:rPr>
        <w:instrText xml:space="preserve"> DOCVARIABLE "Document Title" \* MERGEFORMAT </w:instrText>
      </w:r>
      <w:r w:rsidRPr="002F41ED">
        <w:rPr>
          <w:rFonts w:ascii="Calibri" w:eastAsia="Times New Roman" w:hAnsi="Calibri" w:cs="Calibri"/>
          <w:b/>
          <w:sz w:val="32"/>
          <w:szCs w:val="32"/>
        </w:rPr>
        <w:fldChar w:fldCharType="separate"/>
      </w:r>
      <w:r w:rsidRPr="002F41ED">
        <w:rPr>
          <w:rFonts w:ascii="Calibri" w:eastAsia="Times New Roman" w:hAnsi="Calibri" w:cs="Calibri"/>
          <w:b/>
          <w:sz w:val="32"/>
          <w:szCs w:val="32"/>
        </w:rPr>
        <w:t>Revenue Integrity - CDM - Supply Charging Policy</w:t>
      </w:r>
      <w:r w:rsidRPr="002F41ED">
        <w:rPr>
          <w:rFonts w:ascii="Calibri" w:eastAsia="Times New Roman" w:hAnsi="Calibri" w:cs="Calibri"/>
          <w:b/>
          <w:sz w:val="32"/>
          <w:szCs w:val="32"/>
        </w:rPr>
        <w:fldChar w:fldCharType="end"/>
      </w:r>
    </w:p>
    <w:p w:rsidR="002F41ED" w:rsidRPr="002F41ED" w:rsidRDefault="002F41ED" w:rsidP="002F41ED">
      <w:pPr>
        <w:spacing w:after="200" w:line="276" w:lineRule="auto"/>
        <w:ind w:left="360"/>
        <w:contextualSpacing/>
        <w:rPr>
          <w:rFonts w:ascii="Arial" w:eastAsia="Times New Roman" w:hAnsi="Arial" w:cs="Arial"/>
        </w:rPr>
      </w:pP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b/>
        </w:rPr>
        <w:t xml:space="preserve">Policy: </w:t>
      </w:r>
      <w:r w:rsidRPr="002F41ED">
        <w:rPr>
          <w:rFonts w:asciiTheme="majorHAnsi" w:eastAsia="Times New Roman" w:hAnsiTheme="majorHAnsi" w:cs="Arial"/>
        </w:rPr>
        <w:fldChar w:fldCharType="begin"/>
      </w:r>
      <w:r w:rsidRPr="002F41ED">
        <w:rPr>
          <w:rFonts w:asciiTheme="majorHAnsi" w:eastAsia="Times New Roman" w:hAnsiTheme="majorHAnsi" w:cs="Arial"/>
        </w:rPr>
        <w:instrText xml:space="preserve"> FILLIN  "Click here to type the policy statement in one sentence."  \* MERGEFORMAT </w:instrText>
      </w:r>
      <w:r w:rsidRPr="002F41ED">
        <w:rPr>
          <w:rFonts w:asciiTheme="majorHAnsi" w:eastAsia="Times New Roman" w:hAnsiTheme="majorHAnsi" w:cs="Arial"/>
        </w:rPr>
        <w:fldChar w:fldCharType="end"/>
      </w:r>
      <w:r w:rsidRPr="002F41ED">
        <w:rPr>
          <w:rFonts w:asciiTheme="majorHAnsi" w:eastAsia="Times New Roman" w:hAnsiTheme="majorHAnsi" w:cs="Arial"/>
        </w:rPr>
        <w:fldChar w:fldCharType="begin"/>
      </w:r>
      <w:r w:rsidRPr="002F41ED">
        <w:rPr>
          <w:rFonts w:asciiTheme="majorHAnsi" w:eastAsia="Times New Roman" w:hAnsiTheme="majorHAnsi" w:cs="Arial"/>
        </w:rPr>
        <w:instrText xml:space="preserve"> MACROBUTTON  AcceptAllChangesShown </w:instrText>
      </w:r>
      <w:r w:rsidRPr="002F41ED">
        <w:rPr>
          <w:rFonts w:asciiTheme="majorHAnsi" w:eastAsia="Times New Roman" w:hAnsiTheme="majorHAnsi" w:cs="Arial"/>
        </w:rPr>
        <w:fldChar w:fldCharType="end"/>
      </w:r>
      <w:r w:rsidRPr="002F41ED">
        <w:rPr>
          <w:rFonts w:asciiTheme="majorHAnsi" w:eastAsia="Times New Roman" w:hAnsiTheme="majorHAnsi" w:cs="Arial"/>
        </w:rPr>
        <w:t xml:space="preserve">Concord Hospital consistently evaluates supplies to determine if they are separately chargeable or not.  Charges for routine supplies are packaged into the charges for the procedure or room charge.  Non-routine supplies are separately charged.  The decision of whether a supply is separately chargeable is </w:t>
      </w:r>
      <w:r w:rsidRPr="002F41ED">
        <w:rPr>
          <w:rFonts w:asciiTheme="majorHAnsi" w:eastAsia="Times New Roman" w:hAnsiTheme="majorHAnsi" w:cs="Arial"/>
          <w:i/>
        </w:rPr>
        <w:t>not</w:t>
      </w:r>
      <w:r w:rsidRPr="002F41ED">
        <w:rPr>
          <w:rFonts w:asciiTheme="majorHAnsi" w:eastAsia="Times New Roman" w:hAnsiTheme="majorHAnsi" w:cs="Arial"/>
        </w:rPr>
        <w:t xml:space="preserve"> based on whether it will be reimbursed separately by Medicare. </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Every supply provided by the hospital, will be captured in one of the following ways:</w:t>
      </w:r>
    </w:p>
    <w:p w:rsidR="002F41ED" w:rsidRPr="002F41ED" w:rsidRDefault="002F41ED" w:rsidP="002F41ED">
      <w:pPr>
        <w:numPr>
          <w:ilvl w:val="0"/>
          <w:numId w:val="9"/>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Bundling the supply charge into general overhead</w:t>
      </w:r>
    </w:p>
    <w:p w:rsidR="002F41ED" w:rsidRPr="002F41ED" w:rsidRDefault="002F41ED" w:rsidP="002F41ED">
      <w:pPr>
        <w:numPr>
          <w:ilvl w:val="0"/>
          <w:numId w:val="9"/>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Bundling the charge into an associated service, procedure, or item</w:t>
      </w:r>
    </w:p>
    <w:p w:rsidR="002F41ED" w:rsidRPr="002F41ED" w:rsidRDefault="002F41ED" w:rsidP="002F41ED">
      <w:pPr>
        <w:numPr>
          <w:ilvl w:val="0"/>
          <w:numId w:val="9"/>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Separately charging the supply on a claim line item without a CPT/HCPCS code and a packaged revenue code</w:t>
      </w:r>
    </w:p>
    <w:p w:rsidR="002F41ED" w:rsidRPr="002F41ED" w:rsidRDefault="002F41ED" w:rsidP="002F41ED">
      <w:pPr>
        <w:numPr>
          <w:ilvl w:val="0"/>
          <w:numId w:val="9"/>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Separately charging the supply on a claim line item with a CPT/HCPCS code</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 xml:space="preserve">Purpose: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rPr>
        <w:t xml:space="preserve">This document standardizes the determination of whether a supply is separately chargeable or not.  It also provides guidance on how these items should be set up in the charge master.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Abbreviations:</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fldChar w:fldCharType="begin"/>
      </w:r>
      <w:r w:rsidRPr="002F41ED">
        <w:rPr>
          <w:rFonts w:asciiTheme="majorHAnsi" w:eastAsia="Times New Roman" w:hAnsiTheme="majorHAnsi" w:cs="Arial"/>
        </w:rPr>
        <w:instrText xml:space="preserve"> FILLIN  "[Click here to add explanation of any abbreviations used or type NONE]" </w:instrText>
      </w:r>
      <w:r w:rsidRPr="002F41ED">
        <w:rPr>
          <w:rFonts w:asciiTheme="majorHAnsi" w:eastAsia="Times New Roman" w:hAnsiTheme="majorHAnsi" w:cs="Arial"/>
        </w:rPr>
        <w:fldChar w:fldCharType="end"/>
      </w:r>
      <w:r w:rsidRPr="002F41ED">
        <w:rPr>
          <w:rFonts w:asciiTheme="majorHAnsi" w:eastAsia="Times New Roman" w:hAnsiTheme="majorHAnsi" w:cs="Arial"/>
        </w:rPr>
        <w:fldChar w:fldCharType="begin"/>
      </w:r>
      <w:r w:rsidRPr="002F41ED">
        <w:rPr>
          <w:rFonts w:asciiTheme="majorHAnsi" w:eastAsia="Times New Roman" w:hAnsiTheme="majorHAnsi" w:cs="Arial"/>
        </w:rPr>
        <w:instrText xml:space="preserve"> MACROBUTTON  AcceptAllChangesShown </w:instrText>
      </w:r>
      <w:r w:rsidRPr="002F41ED">
        <w:rPr>
          <w:rFonts w:asciiTheme="majorHAnsi" w:eastAsia="Times New Roman" w:hAnsiTheme="majorHAnsi" w:cs="Arial"/>
        </w:rPr>
        <w:fldChar w:fldCharType="end"/>
      </w:r>
      <w:r w:rsidRPr="002F41ED">
        <w:rPr>
          <w:rFonts w:asciiTheme="majorHAnsi" w:eastAsia="Times New Roman" w:hAnsiTheme="majorHAnsi" w:cs="Arial"/>
        </w:rPr>
        <w:t>CDM – Charge Description Master</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CMS – Centers for Medicare and Medicaid Services</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CPT – Current Procedural Terminology</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DME – Durable Medical Equipment</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FIM – Financial Item Master</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HCPCS – Healthcare Common Procedure Coding System</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MAC – Medicare Administrative Contractor</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SIM – Service Item Master</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Definitions:</w:t>
      </w:r>
    </w:p>
    <w:p w:rsidR="002F41ED" w:rsidRPr="002F41ED" w:rsidRDefault="002F41ED" w:rsidP="002F41ED">
      <w:pPr>
        <w:spacing w:before="120" w:after="120" w:line="276" w:lineRule="auto"/>
        <w:ind w:left="-360"/>
        <w:rPr>
          <w:rFonts w:asciiTheme="majorHAnsi" w:eastAsia="Times New Roman" w:hAnsiTheme="majorHAnsi" w:cs="Times New Roman"/>
        </w:rPr>
      </w:pPr>
      <w:proofErr w:type="spellStart"/>
      <w:r w:rsidRPr="002F41ED">
        <w:rPr>
          <w:rFonts w:asciiTheme="majorHAnsi" w:eastAsia="Times New Roman" w:hAnsiTheme="majorHAnsi" w:cs="Times New Roman"/>
          <w:u w:val="single"/>
        </w:rPr>
        <w:t>Chargemaster</w:t>
      </w:r>
      <w:proofErr w:type="spellEnd"/>
      <w:r w:rsidRPr="002F41ED">
        <w:rPr>
          <w:rFonts w:asciiTheme="majorHAnsi" w:eastAsia="Times New Roman" w:hAnsiTheme="majorHAnsi" w:cs="Times New Roman"/>
        </w:rPr>
        <w:t xml:space="preserve"> – A database of all separately chargeable items, services, and supplies used in patient care and their associated prices.  The charge master line item is made up of a department identifier, the charge item number (FIM and SIM), a description, a price, a HCPCS or CPT code, and a UB revenue code.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lastRenderedPageBreak/>
        <w:t>Durable Medical Equipment</w:t>
      </w:r>
      <w:r w:rsidRPr="002F41ED">
        <w:rPr>
          <w:rFonts w:asciiTheme="majorHAnsi" w:eastAsia="Times New Roman" w:hAnsiTheme="majorHAnsi" w:cs="Times New Roman"/>
        </w:rPr>
        <w:t xml:space="preserve"> – Equipment that can withstand repeated use, is primarily used to service a medical purpose, is generally not useful to a person in absence of illness or injury, and is appropriate for use in the person’s home.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t xml:space="preserve">HCPCS </w:t>
      </w:r>
      <w:r w:rsidRPr="002F41ED">
        <w:rPr>
          <w:rFonts w:asciiTheme="majorHAnsi" w:eastAsia="Times New Roman" w:hAnsiTheme="majorHAnsi" w:cs="Times New Roman"/>
        </w:rPr>
        <w:t xml:space="preserve">– Codes maintained by the Center for Medicare and Medicaid Services (CMS).  These codes describe services, procedures, durable medical equipment (DME), supplies, drugs, biologics, and radiopharmaceuticals.  They are updated quarterly.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t>Implant</w:t>
      </w:r>
      <w:r w:rsidRPr="002F41ED">
        <w:rPr>
          <w:rFonts w:asciiTheme="majorHAnsi" w:eastAsia="Times New Roman" w:hAnsiTheme="majorHAnsi" w:cs="Times New Roman"/>
        </w:rPr>
        <w:t xml:space="preserve"> – An implant is any type of material that is inserted or grafted onto the body.  An implant may be human or animal tissue, inert material, or a radioactive substance.  Implants of inert material are also referred to as implantable durable medical equipment.  The implant may, but does not have to remain in the patient when the patient is discharged.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t xml:space="preserve">Orthotic Device </w:t>
      </w:r>
      <w:r w:rsidRPr="002F41ED">
        <w:rPr>
          <w:rFonts w:asciiTheme="majorHAnsi" w:eastAsia="Times New Roman" w:hAnsiTheme="majorHAnsi" w:cs="Times New Roman"/>
        </w:rPr>
        <w:t xml:space="preserve">– An orthopedic appliance or apparatus used to support, align, prevent, or correct deformities or to improve the function of movable parts of the body.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t xml:space="preserve">Prosthetic Device </w:t>
      </w:r>
      <w:r w:rsidRPr="002F41ED">
        <w:rPr>
          <w:rFonts w:asciiTheme="majorHAnsi" w:eastAsia="Times New Roman" w:hAnsiTheme="majorHAnsi" w:cs="Times New Roman"/>
        </w:rPr>
        <w:t xml:space="preserve">– A device that replaces all or part of the function of a permanently inoperative or malfunctioning internal body organ.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t>Supply Items</w:t>
      </w:r>
      <w:r w:rsidRPr="002F41ED">
        <w:rPr>
          <w:rFonts w:asciiTheme="majorHAnsi" w:eastAsia="Times New Roman" w:hAnsiTheme="majorHAnsi" w:cs="Times New Roman"/>
        </w:rPr>
        <w:t xml:space="preserve"> – Items used in the treatment of patients – such as trays, gowns, casting materials, and needles. </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u w:val="single"/>
        </w:rPr>
        <w:t xml:space="preserve">UB Revenue Code </w:t>
      </w:r>
      <w:r w:rsidRPr="002F41ED">
        <w:rPr>
          <w:rFonts w:asciiTheme="majorHAnsi" w:eastAsia="Times New Roman" w:hAnsiTheme="majorHAnsi" w:cs="Times New Roman"/>
        </w:rPr>
        <w:t xml:space="preserve">– A four digit code established by the National Uniform Billing Committee (NUBC) that categorizes a line item in the charge master.  Examples: 0110 = Room &amp; Board – Private; 0481 = Cardiac </w:t>
      </w:r>
      <w:proofErr w:type="spellStart"/>
      <w:r w:rsidRPr="002F41ED">
        <w:rPr>
          <w:rFonts w:asciiTheme="majorHAnsi" w:eastAsia="Times New Roman" w:hAnsiTheme="majorHAnsi" w:cs="Times New Roman"/>
        </w:rPr>
        <w:t>Cath</w:t>
      </w:r>
      <w:proofErr w:type="spellEnd"/>
      <w:r w:rsidRPr="002F41ED">
        <w:rPr>
          <w:rFonts w:asciiTheme="majorHAnsi" w:eastAsia="Times New Roman" w:hAnsiTheme="majorHAnsi" w:cs="Times New Roman"/>
        </w:rPr>
        <w:t xml:space="preserve"> Lab.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Charging threshold:</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 xml:space="preserve">Concord Hospital will not charge separately for supply items if the charge (Cost x Markup) is less than $10.00.   Concord Hospital considers supply items with a charge of less than $10.00 to be a routine supply.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Pricing:</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 xml:space="preserve">Chargeable supply pricing is based on the current cost of the supply adjusted by established mark-up formulas.  Supply charges that are hardcoded in STAR will be reviewed at least annually.  In addition, the clinical department using the supply must notify the Manager of Revenue Integrity when the cost of the supply increases or decreases by more than 10% to allow for pricing updates. Manually priced supply items will be reviewed annually for coding accuracy. </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 xml:space="preserve">For more information about pricing, see </w:t>
      </w:r>
      <w:hyperlink r:id="rId7" w:history="1">
        <w:r w:rsidRPr="002F41ED">
          <w:rPr>
            <w:rFonts w:asciiTheme="majorHAnsi" w:eastAsia="Times New Roman" w:hAnsiTheme="majorHAnsi" w:cs="Times New Roman"/>
            <w:color w:val="0563C1" w:themeColor="hyperlink"/>
            <w:u w:val="single"/>
          </w:rPr>
          <w:t>Revenue Integrity - CDM - Pricing Policy</w:t>
        </w:r>
      </w:hyperlink>
      <w:r w:rsidRPr="002F41ED">
        <w:rPr>
          <w:rFonts w:asciiTheme="majorHAnsi" w:eastAsia="Times New Roman" w:hAnsiTheme="majorHAnsi" w:cs="Arial"/>
        </w:rPr>
        <w:t xml:space="preserve">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Routine vs. non-routine</w:t>
      </w: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rPr>
      </w:pPr>
      <w:r w:rsidRPr="002F41ED">
        <w:rPr>
          <w:rFonts w:asciiTheme="majorHAnsi" w:eastAsia="Times New Roman" w:hAnsiTheme="majorHAnsi" w:cs="Arial"/>
          <w:b/>
        </w:rPr>
        <w:t>Routine supplies</w:t>
      </w:r>
      <w:r w:rsidRPr="002F41ED">
        <w:rPr>
          <w:rFonts w:asciiTheme="majorHAnsi" w:eastAsia="Times New Roman" w:hAnsiTheme="majorHAnsi" w:cs="Arial"/>
        </w:rPr>
        <w:t xml:space="preserve">: </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rPr>
      </w:pPr>
      <w:r w:rsidRPr="002F41ED">
        <w:rPr>
          <w:rFonts w:asciiTheme="majorHAnsi" w:eastAsia="Times New Roman" w:hAnsiTheme="majorHAnsi" w:cs="Arial"/>
          <w:b/>
        </w:rPr>
        <w:t>Definition:</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Routine supplies are not separately chargeable.  They are items used during the normal course of treatment, and are directly related to or integral to the performance of separately payable therapy, treatments, procedures, or services. These supplies are </w:t>
      </w:r>
      <w:r w:rsidRPr="002F41ED">
        <w:rPr>
          <w:rFonts w:asciiTheme="majorHAnsi" w:eastAsia="Times New Roman" w:hAnsiTheme="majorHAnsi" w:cs="Arial"/>
        </w:rPr>
        <w:lastRenderedPageBreak/>
        <w:t xml:space="preserve">customarily used during the course of treatment and are normally found in the floor stock, which are generally available to all patients in that specific area or location.  Reusable supplies and equipment are also considered routine.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While, generally, items found in floor stock are considered routine, there may be some items stored in a general area in a department or on a nursing unit that are not considered routine.  The amount or volume of the items typically must be measured or traceable to an individual patient for billing purposes.  For example, IV fluids may be stored in bulk on a shelf in a stock room in order to be readily available when they are needed; however, these fluids require a physician’s order and are separately identifiable to a specific patient based on documentation in the medical record.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Supplies that are necessary or otherwise integral to a procedure or service are considered routine and not separately chargeable. The cost of these supplies will be included in the charge for the procedure or service. Integral means the supply is provided to all patients receiving the same service.  Supplies that can vary based on the patient (e.g. age, sex, weight, diagnosis, medical needs) will not be considered routine.  </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rPr>
      </w:pPr>
      <w:r w:rsidRPr="002F41ED">
        <w:rPr>
          <w:rFonts w:asciiTheme="majorHAnsi" w:eastAsia="Times New Roman" w:hAnsiTheme="majorHAnsi" w:cs="Arial"/>
          <w:b/>
        </w:rPr>
        <w:t xml:space="preserve">Charge master set up for routine supplies: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There is no charge master set up for routine supplies, because they are not separately chargeable.  The cost of the supply should be included in the price of the separately chargeable therapy, treatment, room charge, procedure, or service.</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rPr>
      </w:pPr>
      <w:r w:rsidRPr="002F41ED">
        <w:rPr>
          <w:rFonts w:asciiTheme="majorHAnsi" w:eastAsia="Times New Roman" w:hAnsiTheme="majorHAnsi" w:cs="Arial"/>
          <w:b/>
        </w:rPr>
        <w:t xml:space="preserve">Medicare reimbursement for routine supplies: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There is no separate reimbursement for routine supplies, because they are not separately charged.  Because the cost of the supply is included in the separately charged service, the supply cost will be considered when CMS sets rates for the separately reimbursed service. </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b/>
        </w:rPr>
      </w:pPr>
      <w:r w:rsidRPr="002F41ED">
        <w:rPr>
          <w:rFonts w:asciiTheme="majorHAnsi" w:eastAsia="Times New Roman" w:hAnsiTheme="majorHAnsi" w:cs="Arial"/>
          <w:b/>
        </w:rPr>
        <w:t xml:space="preserve">Examples of routine supplies: </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Calibri" w:eastAsia="Times New Roman" w:hAnsi="Calibri" w:cs="Times New Roman"/>
          <w:noProof/>
        </w:rPr>
        <mc:AlternateContent>
          <mc:Choice Requires="wps">
            <w:drawing>
              <wp:anchor distT="0" distB="0" distL="114300" distR="114300" simplePos="0" relativeHeight="251659264" behindDoc="1" locked="0" layoutInCell="1" allowOverlap="1">
                <wp:simplePos x="0" y="0"/>
                <wp:positionH relativeFrom="column">
                  <wp:posOffset>26670</wp:posOffset>
                </wp:positionH>
                <wp:positionV relativeFrom="paragraph">
                  <wp:posOffset>169545</wp:posOffset>
                </wp:positionV>
                <wp:extent cx="5931535" cy="1995805"/>
                <wp:effectExtent l="17145" t="17145" r="13970" b="158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1995805"/>
                        </a:xfrm>
                        <a:prstGeom prst="rect">
                          <a:avLst/>
                        </a:prstGeom>
                        <a:solidFill>
                          <a:srgbClr val="DAEEF3"/>
                        </a:solidFill>
                        <a:ln w="25400">
                          <a:solidFill>
                            <a:srgbClr val="20586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207E2" id="Rectangle 13" o:spid="_x0000_s1026" style="position:absolute;margin-left:2.1pt;margin-top:13.35pt;width:467.05pt;height:15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MgLgIAAEIEAAAOAAAAZHJzL2Uyb0RvYy54bWysU9uO0zAQfUfiHyy/0yRts9tGTVdVLwhp&#10;gRULH+A6TmLh2GbsNl2+nrHTLS28IfxgeTzj4zNnZhYPp06RowAnjS5pNkopEZqbSuqmpN++7t7N&#10;KHGe6Yopo0VJX4SjD8u3bxa9LcTYtEZVAgiCaFf0tqSt97ZIEsdb0TE3MlZodNYGOubRhCapgPWI&#10;3qlknKZ3SW+gsmC4cA5vN4OTLiN+XQvuP9e1E56okiI3H3eI+z7syXLBigaYbSU/02D/wKJjUuOn&#10;F6gN84wcQP4F1UkOxpnaj7jpElPXkouYA2aTpX9k89wyK2IuKI6zF5nc/4Pln45PQGSFtZtQolmH&#10;NfqCqjHdKEHwDgXqrSsw7tk+QUjR2UfDvzuizbrFMLECMH0rWIW0shCf3DwIhsOnZN9/NBXCs4M3&#10;UatTDV0ARBXIKZbk5VIScfKE42U+n2T5JKeEoy+bz/NZmsc/WPH63ILz74XpSDiUFJB9hGfHR+cD&#10;HVa8hkT6RslqJ5WKBjT7tQJyZNgfm9V2u4sZ4xN3HaY06Us6zqdpGqFvnO4aY5zms7v7M8ObsE56&#10;7HQlu5LO0rBCECuCcFtdxbNnUg1nJKD0Wckg3lCEvaleUEgwQxvj2OGhNfCTkh5buKTux4GBoER9&#10;0FiMeTadhp6PxjS/H6MB1579tYdpjlAl5R4oGYy1HyblYEE2Lf6Vxey1WWEJaxnFDeUdeJ3pYqNG&#10;zc9DFSbh2o5Rv0d/+QsAAP//AwBQSwMEFAAGAAgAAAAhADzWu6/cAAAACAEAAA8AAABkcnMvZG93&#10;bnJldi54bWxMj8FuwjAMhu+T9g6RkXaZRkqLGJSmCE3ajpMGPEDamKYicaomQPf2807b0fp/f/5c&#10;7SbvxA3H2AdSsJhnIJDaYHrqFJyO7y9rEDFpMtoFQgXfGGFXPz5UujThTl94O6ROMIRiqRXYlIZS&#10;ytha9DrOw4DE2TmMXicex06aUd8Z7p3Ms2wlve6JL1g94JvF9nK4egVLm310aVP4Z3fklXPCZn/5&#10;VOppNu23IBJO6a8Mv/qsDjU7NeFKJgrHjJyLCvLVKwiON8W6ANEoKJaLDGRdyf8P1D8AAAD//wMA&#10;UEsBAi0AFAAGAAgAAAAhALaDOJL+AAAA4QEAABMAAAAAAAAAAAAAAAAAAAAAAFtDb250ZW50X1R5&#10;cGVzXS54bWxQSwECLQAUAAYACAAAACEAOP0h/9YAAACUAQAACwAAAAAAAAAAAAAAAAAvAQAAX3Jl&#10;bHMvLnJlbHNQSwECLQAUAAYACAAAACEABMqjIC4CAABCBAAADgAAAAAAAAAAAAAAAAAuAgAAZHJz&#10;L2Uyb0RvYy54bWxQSwECLQAUAAYACAAAACEAPNa7r9wAAAAIAQAADwAAAAAAAAAAAAAAAACIBAAA&#10;ZHJzL2Rvd25yZXYueG1sUEsFBgAAAAAEAAQA8wAAAJEFAAAAAA==&#10;" fillcolor="#daeef3" strokecolor="#205867" strokeweight="2pt"/>
            </w:pict>
          </mc:Fallback>
        </mc:AlternateContent>
      </w:r>
    </w:p>
    <w:p w:rsidR="002F41ED" w:rsidRPr="002F41ED" w:rsidRDefault="002F41ED" w:rsidP="002F41ED">
      <w:pPr>
        <w:spacing w:before="120" w:after="120" w:line="276" w:lineRule="auto"/>
        <w:ind w:left="90"/>
        <w:jc w:val="center"/>
        <w:rPr>
          <w:rFonts w:asciiTheme="majorHAnsi" w:eastAsia="Times New Roman" w:hAnsiTheme="majorHAnsi" w:cs="Arial"/>
          <w:b/>
          <w:color w:val="404040" w:themeColor="text1" w:themeTint="BF"/>
        </w:rPr>
      </w:pPr>
      <w:r w:rsidRPr="002F41ED">
        <w:rPr>
          <w:rFonts w:asciiTheme="majorHAnsi" w:eastAsia="Times New Roman" w:hAnsiTheme="majorHAnsi" w:cs="Arial"/>
          <w:b/>
          <w:color w:val="404040" w:themeColor="text1" w:themeTint="BF"/>
        </w:rPr>
        <w:t>Figure 6.1. Examples of Routine Supplies (not an all-inclusive list)</w:t>
      </w:r>
    </w:p>
    <w:tbl>
      <w:tblPr>
        <w:tblStyle w:val="TableGrid"/>
        <w:tblW w:w="955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546"/>
        <w:gridCol w:w="3060"/>
      </w:tblGrid>
      <w:tr w:rsidR="002F41ED" w:rsidRPr="002F41ED" w:rsidTr="000D132C">
        <w:tc>
          <w:tcPr>
            <w:tcW w:w="2952"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Gowns/masks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Towels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Hypodermic needles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Catheter anchors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Lab supplies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Suture boots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Scalpels/blades</w:t>
            </w:r>
          </w:p>
          <w:p w:rsidR="002F41ED" w:rsidRPr="002F41ED" w:rsidRDefault="002F41ED" w:rsidP="002F41ED">
            <w:pPr>
              <w:spacing w:line="276" w:lineRule="auto"/>
              <w:rPr>
                <w:rFonts w:asciiTheme="majorHAnsi" w:hAnsiTheme="majorHAnsi" w:cs="Arial"/>
                <w:color w:val="404040" w:themeColor="text1" w:themeTint="BF"/>
              </w:rPr>
            </w:pPr>
          </w:p>
        </w:tc>
        <w:tc>
          <w:tcPr>
            <w:tcW w:w="3546"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IV tubing</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EKG electrodes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Skin preps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Personal care items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proofErr w:type="spellStart"/>
            <w:r w:rsidRPr="002F41ED">
              <w:rPr>
                <w:rFonts w:asciiTheme="majorHAnsi" w:hAnsiTheme="majorHAnsi" w:cs="Arial"/>
                <w:color w:val="404040" w:themeColor="text1" w:themeTint="BF"/>
              </w:rPr>
              <w:t>Raytec</w:t>
            </w:r>
            <w:proofErr w:type="spellEnd"/>
            <w:r w:rsidRPr="002F41ED">
              <w:rPr>
                <w:rFonts w:asciiTheme="majorHAnsi" w:hAnsiTheme="majorHAnsi" w:cs="Arial"/>
                <w:color w:val="404040" w:themeColor="text1" w:themeTint="BF"/>
              </w:rPr>
              <w:t>/Lap sponges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Kits/sets (without implants)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TED Hose</w:t>
            </w:r>
          </w:p>
          <w:p w:rsidR="002F41ED" w:rsidRPr="002F41ED" w:rsidRDefault="002F41ED" w:rsidP="002F41ED">
            <w:pPr>
              <w:spacing w:line="276" w:lineRule="auto"/>
              <w:rPr>
                <w:rFonts w:asciiTheme="majorHAnsi" w:hAnsiTheme="majorHAnsi" w:cs="Arial"/>
                <w:color w:val="404040" w:themeColor="text1" w:themeTint="BF"/>
              </w:rPr>
            </w:pPr>
          </w:p>
        </w:tc>
        <w:tc>
          <w:tcPr>
            <w:tcW w:w="3060"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Bedpans/urinals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Cautery cords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Suction tubing/tips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proofErr w:type="spellStart"/>
            <w:r w:rsidRPr="002F41ED">
              <w:rPr>
                <w:rFonts w:asciiTheme="majorHAnsi" w:hAnsiTheme="majorHAnsi" w:cs="Arial"/>
                <w:color w:val="404040" w:themeColor="text1" w:themeTint="BF"/>
              </w:rPr>
              <w:t>Oximeter</w:t>
            </w:r>
            <w:proofErr w:type="spellEnd"/>
            <w:r w:rsidRPr="002F41ED">
              <w:rPr>
                <w:rFonts w:asciiTheme="majorHAnsi" w:hAnsiTheme="majorHAnsi" w:cs="Arial"/>
                <w:color w:val="404040" w:themeColor="text1" w:themeTint="BF"/>
              </w:rPr>
              <w:t xml:space="preserve"> probes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Hypo/hyperthermia blankets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proofErr w:type="spellStart"/>
            <w:r w:rsidRPr="002F41ED">
              <w:rPr>
                <w:rFonts w:asciiTheme="majorHAnsi" w:hAnsiTheme="majorHAnsi" w:cs="Arial"/>
                <w:color w:val="404040" w:themeColor="text1" w:themeTint="BF"/>
              </w:rPr>
              <w:t>Ambu</w:t>
            </w:r>
            <w:proofErr w:type="spellEnd"/>
            <w:r w:rsidRPr="002F41ED">
              <w:rPr>
                <w:rFonts w:asciiTheme="majorHAnsi" w:hAnsiTheme="majorHAnsi" w:cs="Arial"/>
                <w:color w:val="404040" w:themeColor="text1" w:themeTint="BF"/>
              </w:rPr>
              <w:t xml:space="preserve"> bag</w:t>
            </w:r>
          </w:p>
          <w:p w:rsidR="002F41ED" w:rsidRPr="002F41ED" w:rsidRDefault="002F41ED" w:rsidP="002F41ED">
            <w:pPr>
              <w:spacing w:line="276" w:lineRule="auto"/>
              <w:rPr>
                <w:rFonts w:asciiTheme="majorHAnsi" w:hAnsiTheme="majorHAnsi" w:cs="Arial"/>
                <w:color w:val="404040" w:themeColor="text1" w:themeTint="BF"/>
              </w:rPr>
            </w:pPr>
          </w:p>
        </w:tc>
      </w:tr>
    </w:tbl>
    <w:p w:rsidR="002F41ED" w:rsidRPr="002F41ED" w:rsidRDefault="002F41ED" w:rsidP="002F41ED">
      <w:pPr>
        <w:spacing w:before="120" w:after="120" w:line="276" w:lineRule="auto"/>
        <w:ind w:left="-360"/>
        <w:rPr>
          <w:rFonts w:asciiTheme="majorHAnsi" w:eastAsia="Times New Roman" w:hAnsiTheme="majorHAnsi" w:cs="Arial"/>
        </w:rPr>
      </w:pP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b/>
        </w:rPr>
      </w:pPr>
      <w:r w:rsidRPr="002F41ED">
        <w:rPr>
          <w:rFonts w:asciiTheme="majorHAnsi" w:eastAsia="Times New Roman" w:hAnsiTheme="majorHAnsi" w:cs="Arial"/>
          <w:b/>
        </w:rPr>
        <w:t>Non-routine supplies</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b/>
        </w:rPr>
      </w:pPr>
      <w:r w:rsidRPr="002F41ED">
        <w:rPr>
          <w:rFonts w:asciiTheme="majorHAnsi" w:eastAsia="Times New Roman" w:hAnsiTheme="majorHAnsi" w:cs="Arial"/>
          <w:b/>
        </w:rPr>
        <w:t xml:space="preserve">Definition: </w:t>
      </w:r>
    </w:p>
    <w:p w:rsidR="002F41ED" w:rsidRPr="002F41ED" w:rsidRDefault="002F41ED" w:rsidP="002F41ED">
      <w:pPr>
        <w:spacing w:before="120" w:after="120" w:line="276" w:lineRule="auto"/>
        <w:ind w:left="810"/>
        <w:rPr>
          <w:rFonts w:asciiTheme="majorHAnsi" w:eastAsia="Times New Roman" w:hAnsiTheme="majorHAnsi" w:cs="Arial"/>
        </w:rPr>
      </w:pPr>
      <w:r w:rsidRPr="002F41ED">
        <w:rPr>
          <w:rFonts w:asciiTheme="majorHAnsi" w:eastAsia="Times New Roman" w:hAnsiTheme="majorHAnsi" w:cs="Arial"/>
        </w:rPr>
        <w:lastRenderedPageBreak/>
        <w:t xml:space="preserve">Non-routine supplies are also known as ancillary supplies.  Non-routine supplies are separately chargeable.  To be billed as non-routine, the item must be: </w:t>
      </w:r>
    </w:p>
    <w:p w:rsidR="002F41ED" w:rsidRPr="002F41ED" w:rsidRDefault="002F41ED" w:rsidP="002F41ED">
      <w:pPr>
        <w:numPr>
          <w:ilvl w:val="0"/>
          <w:numId w:val="3"/>
        </w:numPr>
        <w:spacing w:before="120" w:after="120" w:line="276" w:lineRule="auto"/>
        <w:ind w:left="1530"/>
        <w:rPr>
          <w:rFonts w:asciiTheme="majorHAnsi" w:eastAsia="Times New Roman" w:hAnsiTheme="majorHAnsi" w:cs="Arial"/>
        </w:rPr>
      </w:pPr>
      <w:r w:rsidRPr="002F41ED">
        <w:rPr>
          <w:rFonts w:asciiTheme="majorHAnsi" w:eastAsia="Times New Roman" w:hAnsiTheme="majorHAnsi" w:cs="Arial"/>
        </w:rPr>
        <w:t>Directly identifiable to a specific patient.</w:t>
      </w:r>
    </w:p>
    <w:p w:rsidR="002F41ED" w:rsidRPr="002F41ED" w:rsidRDefault="002F41ED" w:rsidP="002F41ED">
      <w:pPr>
        <w:numPr>
          <w:ilvl w:val="0"/>
          <w:numId w:val="3"/>
        </w:numPr>
        <w:spacing w:before="120" w:after="120" w:line="276" w:lineRule="auto"/>
        <w:ind w:left="1530"/>
        <w:rPr>
          <w:rFonts w:asciiTheme="majorHAnsi" w:eastAsia="Times New Roman" w:hAnsiTheme="majorHAnsi" w:cs="Arial"/>
        </w:rPr>
      </w:pPr>
      <w:r w:rsidRPr="002F41ED">
        <w:rPr>
          <w:rFonts w:asciiTheme="majorHAnsi" w:eastAsia="Times New Roman" w:hAnsiTheme="majorHAnsi" w:cs="Arial"/>
        </w:rPr>
        <w:t xml:space="preserve">Furnished at the direction of a physician because of specific medical need (excluding gowns, gloves, drapes, etc.) and must be documented in the patient’s medical record. </w:t>
      </w:r>
    </w:p>
    <w:p w:rsidR="002F41ED" w:rsidRPr="002F41ED" w:rsidRDefault="002F41ED" w:rsidP="002F41ED">
      <w:pPr>
        <w:numPr>
          <w:ilvl w:val="0"/>
          <w:numId w:val="3"/>
        </w:numPr>
        <w:spacing w:before="120" w:after="120" w:line="276" w:lineRule="auto"/>
        <w:ind w:left="1530"/>
        <w:rPr>
          <w:rFonts w:asciiTheme="majorHAnsi" w:eastAsia="Times New Roman" w:hAnsiTheme="majorHAnsi" w:cs="Arial"/>
        </w:rPr>
      </w:pPr>
      <w:r w:rsidRPr="002F41ED">
        <w:rPr>
          <w:rFonts w:asciiTheme="majorHAnsi" w:eastAsia="Times New Roman" w:hAnsiTheme="majorHAnsi" w:cs="Arial"/>
        </w:rPr>
        <w:t xml:space="preserve">Either non-reusable or represent a cost for each preparation. </w:t>
      </w:r>
    </w:p>
    <w:p w:rsidR="002F41ED" w:rsidRPr="002F41ED" w:rsidRDefault="002F41ED" w:rsidP="002F41ED">
      <w:pPr>
        <w:numPr>
          <w:ilvl w:val="0"/>
          <w:numId w:val="3"/>
        </w:numPr>
        <w:spacing w:before="120" w:after="120" w:line="276" w:lineRule="auto"/>
        <w:ind w:left="1530"/>
        <w:rPr>
          <w:rFonts w:asciiTheme="majorHAnsi" w:eastAsia="Times New Roman" w:hAnsiTheme="majorHAnsi" w:cs="Arial"/>
        </w:rPr>
      </w:pPr>
      <w:r w:rsidRPr="002F41ED">
        <w:rPr>
          <w:rFonts w:asciiTheme="majorHAnsi" w:eastAsia="Times New Roman" w:hAnsiTheme="majorHAnsi" w:cs="Arial"/>
        </w:rPr>
        <w:t xml:space="preserve">Types of non-routine supplies include implantable devices, prosthetic and orthotics (P&amp;Os), and other supplies that do not meet the criteria of a routine supply. </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b/>
        </w:rPr>
      </w:pPr>
      <w:r w:rsidRPr="002F41ED">
        <w:rPr>
          <w:rFonts w:asciiTheme="majorHAnsi" w:eastAsia="Times New Roman" w:hAnsiTheme="majorHAnsi" w:cs="Arial"/>
          <w:b/>
        </w:rPr>
        <w:t xml:space="preserve">Charge master set up for non-routine supplies: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Non-routine supplies are separately charged.  Please note that even if a supply is assigned a HCPCS code, and separately </w:t>
      </w:r>
      <w:r w:rsidRPr="002F41ED">
        <w:rPr>
          <w:rFonts w:asciiTheme="majorHAnsi" w:eastAsia="Times New Roman" w:hAnsiTheme="majorHAnsi" w:cs="Arial"/>
          <w:i/>
        </w:rPr>
        <w:t>charged</w:t>
      </w:r>
      <w:r w:rsidRPr="002F41ED">
        <w:rPr>
          <w:rFonts w:asciiTheme="majorHAnsi" w:eastAsia="Times New Roman" w:hAnsiTheme="majorHAnsi" w:cs="Arial"/>
        </w:rPr>
        <w:t xml:space="preserve">, this doesn’t necessarily mean it will be separately </w:t>
      </w:r>
      <w:r w:rsidRPr="002F41ED">
        <w:rPr>
          <w:rFonts w:asciiTheme="majorHAnsi" w:eastAsia="Times New Roman" w:hAnsiTheme="majorHAnsi" w:cs="Arial"/>
          <w:i/>
        </w:rPr>
        <w:t>reimbursed</w:t>
      </w:r>
      <w:r w:rsidRPr="002F41ED">
        <w:rPr>
          <w:rFonts w:asciiTheme="majorHAnsi" w:eastAsia="Times New Roman" w:hAnsiTheme="majorHAnsi" w:cs="Arial"/>
        </w:rPr>
        <w:t xml:space="preserve">. </w:t>
      </w:r>
    </w:p>
    <w:p w:rsidR="002F41ED" w:rsidRPr="002F41ED" w:rsidRDefault="002F41ED" w:rsidP="002F41ED">
      <w:pPr>
        <w:spacing w:before="120" w:after="120" w:line="276" w:lineRule="auto"/>
        <w:ind w:left="810"/>
        <w:rPr>
          <w:rFonts w:asciiTheme="majorHAnsi" w:eastAsia="Times New Roman" w:hAnsiTheme="majorHAnsi" w:cs="Arial"/>
        </w:rPr>
      </w:pPr>
      <w:r w:rsidRPr="002F41ED">
        <w:rPr>
          <w:rFonts w:asciiTheme="majorHAnsi" w:eastAsia="Times New Roman" w:hAnsiTheme="majorHAnsi" w:cs="Arial"/>
        </w:rPr>
        <w:t xml:space="preserve">If the supply item is assigned a HCPCS code, the Revenue Integrity department will consult the Medicare OPPS Addendum B when determining how to set up the SIM for non-routine supplies.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The following items will be assigned a HCPCS code if one is available.  </w:t>
      </w:r>
    </w:p>
    <w:p w:rsidR="002F41ED" w:rsidRPr="002F41ED" w:rsidRDefault="002F41ED" w:rsidP="002F41ED">
      <w:pPr>
        <w:numPr>
          <w:ilvl w:val="0"/>
          <w:numId w:val="6"/>
        </w:numPr>
        <w:spacing w:before="120" w:after="120" w:line="276" w:lineRule="auto"/>
        <w:ind w:left="1170"/>
        <w:rPr>
          <w:rFonts w:asciiTheme="majorHAnsi" w:eastAsia="Times New Roman" w:hAnsiTheme="majorHAnsi" w:cs="Arial"/>
        </w:rPr>
      </w:pPr>
      <w:r w:rsidRPr="002F41ED">
        <w:rPr>
          <w:rFonts w:asciiTheme="majorHAnsi" w:eastAsia="Times New Roman" w:hAnsiTheme="majorHAnsi" w:cs="Arial"/>
        </w:rPr>
        <w:t xml:space="preserve">Items designated with an “A” OPPS status indicator AND considered a non-implantable prosthetic or orthotic. Supply items considered prosthetics and orthotics can be identified with the presence of Category PO in the DMEPOS Fee Schedule. </w:t>
      </w:r>
    </w:p>
    <w:p w:rsidR="002F41ED" w:rsidRPr="002F41ED" w:rsidRDefault="002F41ED" w:rsidP="002F41ED">
      <w:pPr>
        <w:numPr>
          <w:ilvl w:val="0"/>
          <w:numId w:val="6"/>
        </w:numPr>
        <w:spacing w:before="120" w:after="120" w:line="276" w:lineRule="auto"/>
        <w:ind w:left="1170"/>
        <w:rPr>
          <w:rFonts w:asciiTheme="majorHAnsi" w:eastAsia="Times New Roman" w:hAnsiTheme="majorHAnsi" w:cs="Arial"/>
        </w:rPr>
      </w:pPr>
      <w:r w:rsidRPr="002F41ED">
        <w:rPr>
          <w:rFonts w:asciiTheme="majorHAnsi" w:eastAsia="Times New Roman" w:hAnsiTheme="majorHAnsi" w:cs="Arial"/>
        </w:rPr>
        <w:t>Items designated with an “N” (packaged items) OPPS status indicator</w:t>
      </w:r>
    </w:p>
    <w:p w:rsidR="002F41ED" w:rsidRPr="002F41ED" w:rsidRDefault="002F41ED" w:rsidP="002F41ED">
      <w:pPr>
        <w:numPr>
          <w:ilvl w:val="0"/>
          <w:numId w:val="6"/>
        </w:numPr>
        <w:spacing w:before="120" w:after="120" w:line="276" w:lineRule="auto"/>
        <w:ind w:left="1170"/>
        <w:rPr>
          <w:rFonts w:asciiTheme="majorHAnsi" w:eastAsia="Times New Roman" w:hAnsiTheme="majorHAnsi" w:cs="Arial"/>
        </w:rPr>
      </w:pPr>
      <w:r w:rsidRPr="002F41ED">
        <w:rPr>
          <w:rFonts w:asciiTheme="majorHAnsi" w:eastAsia="Times New Roman" w:hAnsiTheme="majorHAnsi" w:cs="Arial"/>
        </w:rPr>
        <w:t>Items designated with an  “H” (pass-through devices) OPPS status indicator</w:t>
      </w:r>
    </w:p>
    <w:p w:rsidR="002F41ED" w:rsidRPr="002F41ED" w:rsidRDefault="002F41ED" w:rsidP="002F41ED">
      <w:pPr>
        <w:spacing w:before="120" w:after="120" w:line="276" w:lineRule="auto"/>
        <w:ind w:left="810"/>
        <w:rPr>
          <w:rFonts w:asciiTheme="majorHAnsi" w:eastAsia="Times New Roman" w:hAnsiTheme="majorHAnsi" w:cs="Arial"/>
        </w:rPr>
      </w:pPr>
      <w:r w:rsidRPr="002F41ED">
        <w:rPr>
          <w:rFonts w:asciiTheme="majorHAnsi" w:eastAsia="Times New Roman" w:hAnsiTheme="majorHAnsi" w:cs="Arial"/>
        </w:rPr>
        <w:t>If the item is assigned another status indicator, such as “A,” (excluding P&amp;O), the supply is considered incident to a physician service and the HCPCS code should not be billed on the claim.  Instead, the charge will be reported with the appropriate packaged revenue code. A list of packaged revenue codes can be found in the OPPS Final Rule.</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b/>
        </w:rPr>
      </w:pPr>
      <w:r w:rsidRPr="002F41ED">
        <w:rPr>
          <w:rFonts w:asciiTheme="majorHAnsi" w:eastAsia="Times New Roman" w:hAnsiTheme="majorHAnsi" w:cs="Arial"/>
          <w:b/>
        </w:rPr>
        <w:t xml:space="preserve">Medicare reimbursement for non-routine supplies: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Generally, Medicare bundles the payment for the supply into the payment for the separately chargeable service.  For example, when the hospital charges for a hemodialysis catheter along with a charge for the insertion of the catheter, Medicare reimburses one sum for the insertion, and the supply reimbursement is bundled into that one payment.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t xml:space="preserve">Even though Medicare bundles the reimbursement for the supply, the charge data is used to set the rates for the separately reimbursed service, and therefore, Concord Hospital will charge separately for these non-routine supplies. </w:t>
      </w:r>
    </w:p>
    <w:p w:rsidR="002F41ED" w:rsidRPr="002F41ED" w:rsidRDefault="002F41ED" w:rsidP="002F41ED">
      <w:pPr>
        <w:spacing w:before="120" w:after="120" w:line="240" w:lineRule="auto"/>
        <w:ind w:left="810"/>
        <w:rPr>
          <w:rFonts w:asciiTheme="majorHAnsi" w:eastAsia="Times New Roman" w:hAnsiTheme="majorHAnsi" w:cs="Arial"/>
        </w:rPr>
      </w:pPr>
      <w:r w:rsidRPr="002F41ED">
        <w:rPr>
          <w:rFonts w:asciiTheme="majorHAnsi" w:eastAsia="Times New Roman" w:hAnsiTheme="majorHAnsi" w:cs="Arial"/>
        </w:rPr>
        <w:lastRenderedPageBreak/>
        <w:t xml:space="preserve">Medicare does pay separately for newly-approved devices.  These devices are called transitional pass-through devices, and are paid separately for no less than two years and no more than three years.   </w:t>
      </w:r>
    </w:p>
    <w:p w:rsidR="002F41ED" w:rsidRPr="002F41ED" w:rsidRDefault="002F41ED" w:rsidP="002F41ED">
      <w:pPr>
        <w:numPr>
          <w:ilvl w:val="2"/>
          <w:numId w:val="1"/>
        </w:numPr>
        <w:spacing w:before="240" w:after="120" w:line="276" w:lineRule="auto"/>
        <w:ind w:left="810" w:hanging="720"/>
        <w:rPr>
          <w:rFonts w:asciiTheme="majorHAnsi" w:eastAsia="Times New Roman" w:hAnsiTheme="majorHAnsi" w:cs="Arial"/>
          <w:b/>
        </w:rPr>
      </w:pPr>
      <w:r w:rsidRPr="002F41ED">
        <w:rPr>
          <w:rFonts w:asciiTheme="majorHAnsi" w:eastAsia="Times New Roman" w:hAnsiTheme="majorHAnsi" w:cs="Arial"/>
          <w:b/>
        </w:rPr>
        <w:t>Examples of non-routine supplies:</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Calibri" w:eastAsia="Times New Roman" w:hAnsi="Calibri" w:cs="Times New Roman"/>
          <w:noProof/>
        </w:rPr>
        <mc:AlternateContent>
          <mc:Choice Requires="wps">
            <w:drawing>
              <wp:anchor distT="0" distB="0" distL="114300" distR="114300" simplePos="0" relativeHeight="251660288" behindDoc="1" locked="0" layoutInCell="1" allowOverlap="1">
                <wp:simplePos x="0" y="0"/>
                <wp:positionH relativeFrom="column">
                  <wp:posOffset>49530</wp:posOffset>
                </wp:positionH>
                <wp:positionV relativeFrom="paragraph">
                  <wp:posOffset>163195</wp:posOffset>
                </wp:positionV>
                <wp:extent cx="5558155" cy="1216660"/>
                <wp:effectExtent l="20955" t="20320" r="2159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1216660"/>
                        </a:xfrm>
                        <a:prstGeom prst="rect">
                          <a:avLst/>
                        </a:prstGeom>
                        <a:solidFill>
                          <a:srgbClr val="DAEEF3"/>
                        </a:solidFill>
                        <a:ln w="25400">
                          <a:solidFill>
                            <a:srgbClr val="20586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883D30" id="Rectangle 12" o:spid="_x0000_s1026" style="position:absolute;margin-left:3.9pt;margin-top:12.85pt;width:437.65pt;height:9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mtLQIAAEIEAAAOAAAAZHJzL2Uyb0RvYy54bWysU9uO0zAQfUfiHyy/01xouiVquqp6QUgL&#10;rFj4ANdxEgvHNmO36fL1O3a6pQs8IfJgzXjGJ2fOzCxuT70iRwFOGl3RbJJSIjQ3tdRtRb993b2Z&#10;U+I80zVTRouKPgpHb5evXy0GW4rcdEbVAgiCaFcOtqKd97ZMEsc70TM3MVZoDDYGeubRhTapgQ2I&#10;3qskT9NZMhioLRgunMPbzRiky4jfNIL7z03jhCeqosjNxxPiuQ9nslywsgVmO8nPNNg/sOiZ1PjT&#10;C9SGeUYOIP+A6iUH40zjJ9z0iWkayUWsAavJ0t+qeeiYFbEWFMfZi0zu/8HyT8d7ILLG3uWUaNZj&#10;j76gaky3ShC8Q4EG60rMe7D3EEp09s7w745os+4wTawAzNAJViOtLOQnLx4Ex+FTsh8+mhrh2cGb&#10;qNWpgT4AogrkFFvyeGmJOHnC8bIoinlWFJRwjGV5NpvNYtMSVj4/t+D8e2F6EoyKArKP8Ox453yg&#10;w8rnlEjfKFnvpFLRgXa/VkCODOdjs9pud29jBVjldZrSZKhoXkzTNEK/CLprjDwt5rObv2H00uOk&#10;K9lXdJ6GLySxMgi31XW0PZNqtJGz0mclg3hjE/amfkQhwYxjjGuHRmfgJyUDjnBF3Y8DA0GJ+qCx&#10;Ge+y6TTMfHSmxU2ODlxH9tcRpjlCVZR7oGR01n7clIMF2Xb4ryxWr80KW9jIKG5o78jrTBcHNWp+&#10;XqqwCdd+zPq1+ssnAAAA//8DAFBLAwQUAAYACAAAACEANQJDJdwAAAAIAQAADwAAAGRycy9kb3du&#10;cmV2LnhtbEyPwU7DMBBE70j8g7VIXBB10gAJIU5VIcERiZYPcOJtHNVeR7Hbhr9nOcFxZ3Zn3jab&#10;xTtxxjmOgRTkqwwEUh/MSIOCr/3bfQUiJk1Gu0Co4BsjbNrrq0bXJlzoE8+7NAgOoVhrBTalqZYy&#10;9ha9jqswIbF3CLPXicd5kGbWFw73Tq6z7El6PRI3WD3hq8X+uDt5BQ82ex/Sc+Hv3J5PDgm77fFD&#10;qdubZfsCIuGS/pbhF5/RoWWmLpzIROEUlAyeFKwfSxBsV1WRg+hYyMsCZNvI/w+0PwAAAP//AwBQ&#10;SwECLQAUAAYACAAAACEAtoM4kv4AAADhAQAAEwAAAAAAAAAAAAAAAAAAAAAAW0NvbnRlbnRfVHlw&#10;ZXNdLnhtbFBLAQItABQABgAIAAAAIQA4/SH/1gAAAJQBAAALAAAAAAAAAAAAAAAAAC8BAABfcmVs&#10;cy8ucmVsc1BLAQItABQABgAIAAAAIQCM3NmtLQIAAEIEAAAOAAAAAAAAAAAAAAAAAC4CAABkcnMv&#10;ZTJvRG9jLnhtbFBLAQItABQABgAIAAAAIQA1AkMl3AAAAAgBAAAPAAAAAAAAAAAAAAAAAIcEAABk&#10;cnMvZG93bnJldi54bWxQSwUGAAAAAAQABADzAAAAkAUAAAAA&#10;" fillcolor="#daeef3" strokecolor="#205867" strokeweight="2pt"/>
            </w:pict>
          </mc:Fallback>
        </mc:AlternateContent>
      </w:r>
    </w:p>
    <w:p w:rsidR="002F41ED" w:rsidRPr="002F41ED" w:rsidRDefault="002F41ED" w:rsidP="002F41ED">
      <w:pPr>
        <w:spacing w:before="120" w:after="120" w:line="276" w:lineRule="auto"/>
        <w:jc w:val="center"/>
        <w:rPr>
          <w:rFonts w:asciiTheme="majorHAnsi" w:eastAsia="Times New Roman" w:hAnsiTheme="majorHAnsi" w:cs="Arial"/>
          <w:b/>
          <w:color w:val="404040" w:themeColor="text1" w:themeTint="BF"/>
        </w:rPr>
      </w:pPr>
      <w:r w:rsidRPr="002F41ED">
        <w:rPr>
          <w:rFonts w:asciiTheme="majorHAnsi" w:eastAsia="Times New Roman" w:hAnsiTheme="majorHAnsi" w:cs="Arial"/>
          <w:b/>
          <w:color w:val="404040" w:themeColor="text1" w:themeTint="BF"/>
        </w:rPr>
        <w:t>Figure 6.2. Examples of Non-Routine Supplies (not an all-inclusive list)</w:t>
      </w:r>
    </w:p>
    <w:tbl>
      <w:tblPr>
        <w:tblStyle w:val="TableGrid"/>
        <w:tblW w:w="73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960"/>
      </w:tblGrid>
      <w:tr w:rsidR="002F41ED" w:rsidRPr="002F41ED" w:rsidTr="000D132C">
        <w:tc>
          <w:tcPr>
            <w:tcW w:w="3438"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Pacemaker/ ICD (implant)</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proofErr w:type="spellStart"/>
            <w:r w:rsidRPr="002F41ED">
              <w:rPr>
                <w:rFonts w:asciiTheme="majorHAnsi" w:hAnsiTheme="majorHAnsi" w:cs="Arial"/>
                <w:color w:val="404040" w:themeColor="text1" w:themeTint="BF"/>
              </w:rPr>
              <w:t>Neuro</w:t>
            </w:r>
            <w:proofErr w:type="spellEnd"/>
            <w:r w:rsidRPr="002F41ED">
              <w:rPr>
                <w:rFonts w:asciiTheme="majorHAnsi" w:hAnsiTheme="majorHAnsi" w:cs="Arial"/>
                <w:color w:val="404040" w:themeColor="text1" w:themeTint="BF"/>
              </w:rPr>
              <w:t>-stimulator (implant)</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Event recorder</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Hemodialysis catheter</w:t>
            </w:r>
          </w:p>
        </w:tc>
        <w:tc>
          <w:tcPr>
            <w:tcW w:w="3960"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Knee mobilizer (P&amp;O)</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Cervical collar (P&amp;O)</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Braces (P&amp;O)</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Kits/sets/trays (with implants)</w:t>
            </w:r>
          </w:p>
          <w:p w:rsidR="002F41ED" w:rsidRPr="002F41ED" w:rsidRDefault="002F41ED" w:rsidP="002F41ED">
            <w:pPr>
              <w:spacing w:line="276" w:lineRule="auto"/>
              <w:rPr>
                <w:rFonts w:asciiTheme="majorHAnsi" w:hAnsiTheme="majorHAnsi" w:cs="Arial"/>
                <w:color w:val="404040" w:themeColor="text1" w:themeTint="BF"/>
              </w:rPr>
            </w:pPr>
          </w:p>
        </w:tc>
      </w:tr>
    </w:tbl>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Implanted Devices</w:t>
      </w: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b/>
        </w:rPr>
      </w:pPr>
      <w:r w:rsidRPr="002F41ED">
        <w:rPr>
          <w:rFonts w:asciiTheme="majorHAnsi" w:eastAsia="Times New Roman" w:hAnsiTheme="majorHAnsi" w:cs="Arial"/>
          <w:b/>
        </w:rPr>
        <w:t>Definition</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Concord Hospital uses the NUBC def</w:t>
      </w:r>
      <w:r w:rsidR="00EB21D5">
        <w:rPr>
          <w:rFonts w:asciiTheme="majorHAnsi" w:eastAsia="Times New Roman" w:hAnsiTheme="majorHAnsi" w:cs="Arial"/>
        </w:rPr>
        <w:t xml:space="preserve">inition of an implant: </w:t>
      </w:r>
      <w:r w:rsidR="00EB21D5" w:rsidRPr="00EB21D5">
        <w:rPr>
          <w:rFonts w:asciiTheme="majorHAnsi" w:eastAsia="Times New Roman" w:hAnsiTheme="majorHAnsi" w:cs="Arial"/>
        </w:rPr>
        <w:t>That which is implanted, such as a piece of tissue, a tooth, a pellet of medicine, or a tube or needle containing a radioactive substance, a graft, or an insert. Also included are liquid and solid plastic materials used to augment tissues or to fill in areas traumatically or surgically removed. An object or material partially or totally inserted or grafted into the body for prosthetic, therapeutic, diagnostic purposes.</w:t>
      </w: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b/>
        </w:rPr>
      </w:pPr>
      <w:r w:rsidRPr="002F41ED">
        <w:rPr>
          <w:rFonts w:asciiTheme="majorHAnsi" w:eastAsia="Times New Roman" w:hAnsiTheme="majorHAnsi" w:cs="Arial"/>
          <w:b/>
        </w:rPr>
        <w:t>When an implant is separately chargeable</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t xml:space="preserve">Concord Hospital will charge separately for implants meeting the NUBC requirements.  </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 xml:space="preserve">The NUBC requires the following two steps to be used when determining if an item meets the implantable device definition: </w:t>
      </w:r>
    </w:p>
    <w:p w:rsidR="002F41ED" w:rsidRPr="002F41ED" w:rsidRDefault="002F41ED" w:rsidP="002F41ED">
      <w:pPr>
        <w:numPr>
          <w:ilvl w:val="0"/>
          <w:numId w:val="7"/>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 xml:space="preserve">First: CMS states what is not a device – A device is not a material or supply furnished incident to a service (e.g. a surgical staple, a suture, customized surgical kit or clip, other than a radiologic site marker).  If the item passes the first step then review the second step. </w:t>
      </w:r>
    </w:p>
    <w:p w:rsidR="002F41ED" w:rsidRPr="002F41ED" w:rsidRDefault="002F41ED" w:rsidP="002F41ED">
      <w:pPr>
        <w:numPr>
          <w:ilvl w:val="0"/>
          <w:numId w:val="7"/>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Second: Determine if the device meets the NUBC definition below:</w:t>
      </w:r>
    </w:p>
    <w:p w:rsidR="002F41ED" w:rsidRPr="002F41ED" w:rsidRDefault="002F41ED" w:rsidP="002F41ED">
      <w:pPr>
        <w:spacing w:before="120" w:after="120" w:line="276" w:lineRule="auto"/>
        <w:ind w:left="720"/>
        <w:rPr>
          <w:rFonts w:asciiTheme="majorHAnsi" w:eastAsia="Times New Roman" w:hAnsiTheme="majorHAnsi" w:cs="Arial"/>
          <w:i/>
        </w:rPr>
      </w:pPr>
      <w:r w:rsidRPr="002F41ED">
        <w:rPr>
          <w:rFonts w:asciiTheme="majorHAnsi" w:eastAsia="Times New Roman" w:hAnsiTheme="majorHAnsi" w:cs="Arial"/>
          <w:i/>
        </w:rPr>
        <w:t xml:space="preserve">“That which is implanted, such as a piece of tissue, a tooth, a pellet of medicine, or a tube or needle containing radioactive substance, a graft, or an insert.  Also included are liquid and solid plastic materials used to augment tissues or to fill in area traumatically or surgically removed.  An object or material partially or totally inserted or grafted into the body for prosthetic, therapeutic, or diagnostic purposes. </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 xml:space="preserve">Items meeting the two above criteria will be charged separately using the appropriate implant revenue code, and a HCPCS, if available. </w:t>
      </w: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b/>
        </w:rPr>
      </w:pPr>
      <w:r w:rsidRPr="002F41ED">
        <w:rPr>
          <w:rFonts w:asciiTheme="majorHAnsi" w:eastAsia="Times New Roman" w:hAnsiTheme="majorHAnsi" w:cs="Arial"/>
          <w:b/>
        </w:rPr>
        <w:t>Charge master set up for implants</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lastRenderedPageBreak/>
        <w:t xml:space="preserve">Implants meeting the above NUBC requirements are separately charged.  Please note that even if a supply is assigned a HCPCS code, and separately </w:t>
      </w:r>
      <w:r w:rsidRPr="002F41ED">
        <w:rPr>
          <w:rFonts w:asciiTheme="majorHAnsi" w:eastAsia="Times New Roman" w:hAnsiTheme="majorHAnsi" w:cs="Arial"/>
          <w:i/>
        </w:rPr>
        <w:t>charged</w:t>
      </w:r>
      <w:r w:rsidRPr="002F41ED">
        <w:rPr>
          <w:rFonts w:asciiTheme="majorHAnsi" w:eastAsia="Times New Roman" w:hAnsiTheme="majorHAnsi" w:cs="Arial"/>
        </w:rPr>
        <w:t xml:space="preserve">, this doesn’t necessarily mean it will be separately </w:t>
      </w:r>
      <w:r w:rsidRPr="002F41ED">
        <w:rPr>
          <w:rFonts w:asciiTheme="majorHAnsi" w:eastAsia="Times New Roman" w:hAnsiTheme="majorHAnsi" w:cs="Arial"/>
          <w:i/>
        </w:rPr>
        <w:t>reimbursed</w:t>
      </w:r>
      <w:r w:rsidRPr="002F41ED">
        <w:rPr>
          <w:rFonts w:asciiTheme="majorHAnsi" w:eastAsia="Times New Roman" w:hAnsiTheme="majorHAnsi" w:cs="Arial"/>
        </w:rPr>
        <w:t xml:space="preserve">. </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 xml:space="preserve">The Revenue Integrity department will consult the Medicare OPPS Addendum B when determining how to set up the SIM for implants.  </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t xml:space="preserve">The following items will be assigned a HCPCS code if one is available.  </w:t>
      </w:r>
    </w:p>
    <w:p w:rsidR="002F41ED" w:rsidRPr="002F41ED" w:rsidRDefault="002F41ED" w:rsidP="002F41ED">
      <w:pPr>
        <w:numPr>
          <w:ilvl w:val="0"/>
          <w:numId w:val="6"/>
        </w:numPr>
        <w:spacing w:before="120" w:after="120" w:line="276" w:lineRule="auto"/>
        <w:ind w:left="450"/>
        <w:rPr>
          <w:rFonts w:asciiTheme="majorHAnsi" w:eastAsia="Times New Roman" w:hAnsiTheme="majorHAnsi" w:cs="Arial"/>
        </w:rPr>
      </w:pPr>
      <w:r w:rsidRPr="002F41ED">
        <w:rPr>
          <w:rFonts w:asciiTheme="majorHAnsi" w:eastAsia="Times New Roman" w:hAnsiTheme="majorHAnsi" w:cs="Arial"/>
        </w:rPr>
        <w:t>Items designated with an “N” (packaged items) OPPS status indicator</w:t>
      </w:r>
    </w:p>
    <w:p w:rsidR="002F41ED" w:rsidRPr="002F41ED" w:rsidRDefault="002F41ED" w:rsidP="002F41ED">
      <w:pPr>
        <w:numPr>
          <w:ilvl w:val="0"/>
          <w:numId w:val="6"/>
        </w:numPr>
        <w:spacing w:before="120" w:after="120" w:line="276" w:lineRule="auto"/>
        <w:ind w:left="450"/>
        <w:rPr>
          <w:rFonts w:asciiTheme="majorHAnsi" w:eastAsia="Times New Roman" w:hAnsiTheme="majorHAnsi" w:cs="Arial"/>
        </w:rPr>
      </w:pPr>
      <w:r w:rsidRPr="002F41ED">
        <w:rPr>
          <w:rFonts w:asciiTheme="majorHAnsi" w:eastAsia="Times New Roman" w:hAnsiTheme="majorHAnsi" w:cs="Arial"/>
        </w:rPr>
        <w:t>Items designated with an  “H” (pass-through devices) OPPS status indicator</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If the item is assigned another status indicator, such as “A,” (excluding P&amp;O), the supply is considered incident to a physician service and the HCPCS code should not be billed on the claim.  Instead, the charge will be reported without a HCPCS and the appropriate packaged revenue code. A list of packaged revenue codes can be found in the OPPS Final Rule.</w:t>
      </w: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b/>
        </w:rPr>
      </w:pPr>
      <w:r w:rsidRPr="002F41ED">
        <w:rPr>
          <w:rFonts w:asciiTheme="majorHAnsi" w:eastAsia="Times New Roman" w:hAnsiTheme="majorHAnsi" w:cs="Arial"/>
          <w:b/>
        </w:rPr>
        <w:t>Medicare reimbursement for implants</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t xml:space="preserve">Generally, Medicare bundles the payment for the implant into the payment for the separately chargeable service.  For example, when the hospital charges for an implantable </w:t>
      </w:r>
      <w:proofErr w:type="spellStart"/>
      <w:r w:rsidRPr="002F41ED">
        <w:rPr>
          <w:rFonts w:asciiTheme="majorHAnsi" w:eastAsia="Times New Roman" w:hAnsiTheme="majorHAnsi" w:cs="Arial"/>
        </w:rPr>
        <w:t>cardioverter</w:t>
      </w:r>
      <w:proofErr w:type="spellEnd"/>
      <w:r w:rsidRPr="002F41ED">
        <w:rPr>
          <w:rFonts w:asciiTheme="majorHAnsi" w:eastAsia="Times New Roman" w:hAnsiTheme="majorHAnsi" w:cs="Arial"/>
        </w:rPr>
        <w:t xml:space="preserve">-defibrillator along with a charge for the insertion of the </w:t>
      </w:r>
      <w:proofErr w:type="spellStart"/>
      <w:r w:rsidRPr="002F41ED">
        <w:rPr>
          <w:rFonts w:asciiTheme="majorHAnsi" w:eastAsia="Times New Roman" w:hAnsiTheme="majorHAnsi" w:cs="Arial"/>
        </w:rPr>
        <w:t>cardioverter</w:t>
      </w:r>
      <w:proofErr w:type="spellEnd"/>
      <w:r w:rsidRPr="002F41ED">
        <w:rPr>
          <w:rFonts w:asciiTheme="majorHAnsi" w:eastAsia="Times New Roman" w:hAnsiTheme="majorHAnsi" w:cs="Arial"/>
        </w:rPr>
        <w:t xml:space="preserve">-defibrillator, Medicare reimburses one sum for the insertion, and the implant reimbursement is bundled into that one payment. </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t xml:space="preserve">Even though Medicare bundles the reimbursement for the supply, the charge data is used to set the rates for the separately reimbursed service, and therefore, Concord Hospital will charge separately for these non-routine supplies. </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t xml:space="preserve">Medicare does pay separately for recent FDA-approved devices.  These devices are called transitional pass-through devices, and are paid separately for no less than two years and no more than three years.   </w:t>
      </w:r>
    </w:p>
    <w:p w:rsidR="002F41ED" w:rsidRPr="002F41ED" w:rsidRDefault="002F41ED" w:rsidP="002F41ED">
      <w:pPr>
        <w:numPr>
          <w:ilvl w:val="1"/>
          <w:numId w:val="1"/>
        </w:numPr>
        <w:spacing w:before="240" w:after="120" w:line="276" w:lineRule="auto"/>
        <w:ind w:left="90" w:hanging="450"/>
        <w:rPr>
          <w:rFonts w:asciiTheme="majorHAnsi" w:eastAsia="Times New Roman" w:hAnsiTheme="majorHAnsi" w:cs="Arial"/>
          <w:b/>
        </w:rPr>
      </w:pPr>
      <w:r w:rsidRPr="002F41ED">
        <w:rPr>
          <w:rFonts w:asciiTheme="majorHAnsi" w:eastAsia="Times New Roman" w:hAnsiTheme="majorHAnsi" w:cs="Arial"/>
          <w:b/>
        </w:rPr>
        <w:t>Wasted Implants</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 xml:space="preserve">Concord Hospital will follow the guidance in CMS Program Memorandum A-02-129, for all wasted implants. </w:t>
      </w:r>
    </w:p>
    <w:p w:rsidR="002F41ED" w:rsidRPr="002F41ED" w:rsidRDefault="002F41ED" w:rsidP="002F41ED">
      <w:pPr>
        <w:spacing w:before="120" w:after="120" w:line="276" w:lineRule="auto"/>
        <w:ind w:left="90"/>
        <w:rPr>
          <w:rFonts w:asciiTheme="majorHAnsi" w:eastAsia="Times New Roman" w:hAnsiTheme="majorHAnsi" w:cs="Arial"/>
          <w:b/>
          <w:i/>
        </w:rPr>
      </w:pPr>
      <w:r w:rsidRPr="002F41ED">
        <w:rPr>
          <w:rFonts w:asciiTheme="majorHAnsi" w:eastAsia="Times New Roman" w:hAnsiTheme="majorHAnsi" w:cs="Arial"/>
          <w:b/>
          <w:i/>
        </w:rPr>
        <w:t>Wasted implants may be billed in the following two situations:</w:t>
      </w:r>
    </w:p>
    <w:p w:rsidR="002F41ED" w:rsidRPr="002F41ED" w:rsidRDefault="002F41ED" w:rsidP="002F41ED">
      <w:pPr>
        <w:numPr>
          <w:ilvl w:val="0"/>
          <w:numId w:val="4"/>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 xml:space="preserve">When the implant has been inserted, and then removed.  The reason for removal must be clearly documented in the operative report. </w:t>
      </w:r>
    </w:p>
    <w:p w:rsidR="002F41ED" w:rsidRPr="002F41ED" w:rsidRDefault="002F41ED" w:rsidP="002F41ED">
      <w:pPr>
        <w:numPr>
          <w:ilvl w:val="0"/>
          <w:numId w:val="4"/>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 xml:space="preserve">When the insertion was attempted, but unsuccessful.  The reason for unsuccessful insertion must be documented in the operative report. </w:t>
      </w:r>
    </w:p>
    <w:p w:rsidR="002F41ED" w:rsidRPr="002F41ED" w:rsidRDefault="002F41ED" w:rsidP="002F41ED">
      <w:pPr>
        <w:spacing w:before="120" w:after="120" w:line="276" w:lineRule="auto"/>
        <w:ind w:left="90"/>
        <w:rPr>
          <w:rFonts w:asciiTheme="majorHAnsi" w:eastAsia="Times New Roman" w:hAnsiTheme="majorHAnsi" w:cs="Arial"/>
          <w:b/>
          <w:i/>
        </w:rPr>
      </w:pPr>
      <w:r w:rsidRPr="002F41ED">
        <w:rPr>
          <w:rFonts w:asciiTheme="majorHAnsi" w:eastAsia="Times New Roman" w:hAnsiTheme="majorHAnsi" w:cs="Arial"/>
          <w:b/>
          <w:i/>
        </w:rPr>
        <w:t>Wasted implants may not be billed in the following situations:</w:t>
      </w:r>
    </w:p>
    <w:p w:rsidR="002F41ED" w:rsidRPr="002F41ED" w:rsidRDefault="002F41ED" w:rsidP="002F41ED">
      <w:pPr>
        <w:numPr>
          <w:ilvl w:val="0"/>
          <w:numId w:val="5"/>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The implant has not been in contact with the patient.</w:t>
      </w:r>
    </w:p>
    <w:p w:rsidR="002F41ED" w:rsidRPr="002F41ED" w:rsidRDefault="002F41ED" w:rsidP="002F41ED">
      <w:pPr>
        <w:numPr>
          <w:ilvl w:val="0"/>
          <w:numId w:val="5"/>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The implant was opened, contaminated, or the wrong size, but was not used.</w:t>
      </w:r>
    </w:p>
    <w:p w:rsidR="002F41ED" w:rsidRPr="002F41ED" w:rsidRDefault="002F41ED" w:rsidP="002F41ED">
      <w:pPr>
        <w:numPr>
          <w:ilvl w:val="0"/>
          <w:numId w:val="5"/>
        </w:numPr>
        <w:spacing w:before="120" w:after="120" w:line="276" w:lineRule="auto"/>
        <w:rPr>
          <w:rFonts w:asciiTheme="majorHAnsi" w:eastAsia="Times New Roman" w:hAnsiTheme="majorHAnsi" w:cs="Arial"/>
        </w:rPr>
      </w:pPr>
      <w:r w:rsidRPr="002F41ED">
        <w:rPr>
          <w:rFonts w:asciiTheme="majorHAnsi" w:eastAsia="Times New Roman" w:hAnsiTheme="majorHAnsi" w:cs="Arial"/>
        </w:rPr>
        <w:t xml:space="preserve">The implant failed or was defective.  In this case, we will not bill the implant, but contact the vendor/manufacturer for a refund or replacement. </w:t>
      </w:r>
    </w:p>
    <w:p w:rsidR="002F41ED" w:rsidRPr="002F41ED" w:rsidRDefault="002F41ED" w:rsidP="002F41ED">
      <w:pPr>
        <w:spacing w:after="0" w:line="240" w:lineRule="auto"/>
        <w:rPr>
          <w:rFonts w:asciiTheme="majorHAnsi" w:eastAsia="Times New Roman" w:hAnsiTheme="majorHAnsi" w:cs="Arial"/>
          <w:b/>
        </w:rPr>
      </w:pPr>
      <w:bookmarkStart w:id="0" w:name="_GoBack"/>
      <w:bookmarkEnd w:id="0"/>
    </w:p>
    <w:p w:rsidR="002F41ED" w:rsidRPr="002F41ED" w:rsidRDefault="002F41ED" w:rsidP="002F41ED">
      <w:pPr>
        <w:numPr>
          <w:ilvl w:val="1"/>
          <w:numId w:val="1"/>
        </w:numPr>
        <w:spacing w:before="240" w:after="120" w:line="276" w:lineRule="auto"/>
        <w:ind w:left="90" w:hanging="450"/>
        <w:contextualSpacing/>
        <w:rPr>
          <w:rFonts w:asciiTheme="majorHAnsi" w:eastAsia="Times New Roman" w:hAnsiTheme="majorHAnsi" w:cs="Arial"/>
          <w:b/>
        </w:rPr>
      </w:pPr>
      <w:r w:rsidRPr="002F41ED">
        <w:rPr>
          <w:rFonts w:asciiTheme="majorHAnsi" w:eastAsia="Times New Roman" w:hAnsiTheme="majorHAnsi" w:cs="Arial"/>
          <w:b/>
        </w:rPr>
        <w:t xml:space="preserve">Examples of implants:  </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Calibri" w:eastAsia="Times New Roman" w:hAnsi="Calibri" w:cs="Times New Roman"/>
          <w:noProof/>
        </w:rPr>
        <mc:AlternateContent>
          <mc:Choice Requires="wps">
            <w:drawing>
              <wp:anchor distT="0" distB="0" distL="114300" distR="114300" simplePos="0" relativeHeight="251671552" behindDoc="1" locked="0" layoutInCell="1" allowOverlap="1">
                <wp:simplePos x="0" y="0"/>
                <wp:positionH relativeFrom="column">
                  <wp:posOffset>26035</wp:posOffset>
                </wp:positionH>
                <wp:positionV relativeFrom="paragraph">
                  <wp:posOffset>170180</wp:posOffset>
                </wp:positionV>
                <wp:extent cx="5931535" cy="1049655"/>
                <wp:effectExtent l="16510" t="17780" r="1460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1049655"/>
                        </a:xfrm>
                        <a:prstGeom prst="rect">
                          <a:avLst/>
                        </a:prstGeom>
                        <a:solidFill>
                          <a:srgbClr val="DAEEF3"/>
                        </a:solidFill>
                        <a:ln w="25400">
                          <a:solidFill>
                            <a:srgbClr val="20586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A2AB0EB" id="Rectangle 11" o:spid="_x0000_s1026" style="position:absolute;margin-left:2.05pt;margin-top:13.4pt;width:467.05pt;height:8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M5KgIAAEIEAAAOAAAAZHJzL2Uyb0RvYy54bWysU9uO0zAQfUfiHyy/0yRt022jpquqF4S0&#10;wIqFD3Adp7HwjbHbdPn6nTht6QJPiDxYM57xyZkzM/P7k1bkKMBLa0qaDVJKhOG2kmZf0m9ft++m&#10;lPjATMWUNaKkz8LT+8XbN/PWFWJoG6sqAQRBjC9aV9ImBFckieeN0MwPrBMGg7UFzQK6sE8qYC2i&#10;a5UM03SStBYqB5YL7/F23QfpIuLXteDhc117EYgqKXIL8YR47rozWcxZsQfmGsnPNNg/sNBMGvzp&#10;FWrNAiMHkH9AacnBeluHAbc6sXUtuYg1YDVZ+ls1Tw1zItaC4nh3lcn/P1j+6fgIRFbYu4wSwzT2&#10;6AuqxsxeCYJ3KFDrfIF5T+4RuhK9e7D8uyfGrhpME0sA2zaCVUgr5ievHnSOx6dk1360FcKzQ7BR&#10;q1MNugNEFcgptuT52hJxCoTjZT4bZfkop4RjLEvHs0med5wSVlyeO/DhvbCadEZJAdlHeHZ88KFP&#10;vaRE+lbJaiuVig7sdysF5MhwPtbLzWY7OqP72zRlSFvSYT5O0wj9KuhvMYZpPp3c/Q1Dy4CTrqQu&#10;6TTtvi6JFZ1wG1NFOzCpehvLUwarvIjXN2Fnq2cUEmw/xrh2aDQWflLS4giX1P84MBCUqA8GmzHL&#10;xuNu5qMzzu+G6MBtZHcbYYYjVEl5AEp6ZxX6TTk4kPsG/5XF6o1dYgtrGcXtGPa8znRxUGN7zkvV&#10;bcKtH7N+rf7iBQAA//8DAFBLAwQUAAYACAAAACEAVBubh9sAAAAIAQAADwAAAGRycy9kb3ducmV2&#10;LnhtbEyPwWrDMBBE74X8g9hAL6WR7ZQQu5ZDKLTHQpN8gGxtLBNpZSwlcf++21N7XObN7Ey9m70T&#10;N5ziEEhBvspAIHXBDNQrOB3fn7cgYtJktAuECr4xwq5ZPNS6MuFOX3g7pF5wCMVKK7ApjZWUsbPo&#10;dVyFEYm1c5i8TnxOvTSTvnO4d7LIso30eiD+YPWIbxa7y+HqFbzY7KNP5do/uSNbzgnb/eVTqcfl&#10;vH8FkXBOfzD81ufq0HCnNlzJROE4I2dQQbHhASyX620BomWuLHKQTS3/D2h+AAAA//8DAFBLAQIt&#10;ABQABgAIAAAAIQC2gziS/gAAAOEBAAATAAAAAAAAAAAAAAAAAAAAAABbQ29udGVudF9UeXBlc10u&#10;eG1sUEsBAi0AFAAGAAgAAAAhADj9If/WAAAAlAEAAAsAAAAAAAAAAAAAAAAALwEAAF9yZWxzLy5y&#10;ZWxzUEsBAi0AFAAGAAgAAAAhACq6UzkqAgAAQgQAAA4AAAAAAAAAAAAAAAAALgIAAGRycy9lMm9E&#10;b2MueG1sUEsBAi0AFAAGAAgAAAAhAFQbm4fbAAAACAEAAA8AAAAAAAAAAAAAAAAAhAQAAGRycy9k&#10;b3ducmV2LnhtbFBLBQYAAAAABAAEAPMAAACMBQAAAAA=&#10;" fillcolor="#daeef3" strokecolor="#205867" strokeweight="2pt"/>
            </w:pict>
          </mc:Fallback>
        </mc:AlternateContent>
      </w:r>
    </w:p>
    <w:p w:rsidR="002F41ED" w:rsidRPr="002F41ED" w:rsidRDefault="002F41ED" w:rsidP="002F41ED">
      <w:pPr>
        <w:spacing w:before="120" w:after="120" w:line="276" w:lineRule="auto"/>
        <w:ind w:left="90"/>
        <w:jc w:val="center"/>
        <w:rPr>
          <w:rFonts w:asciiTheme="majorHAnsi" w:eastAsia="Times New Roman" w:hAnsiTheme="majorHAnsi" w:cs="Arial"/>
          <w:b/>
          <w:color w:val="404040" w:themeColor="text1" w:themeTint="BF"/>
        </w:rPr>
      </w:pPr>
      <w:r w:rsidRPr="002F41ED">
        <w:rPr>
          <w:rFonts w:asciiTheme="majorHAnsi" w:eastAsia="Times New Roman" w:hAnsiTheme="majorHAnsi" w:cs="Arial"/>
          <w:b/>
          <w:color w:val="404040" w:themeColor="text1" w:themeTint="BF"/>
        </w:rPr>
        <w:t>Figure 7.1. Examples of Implants (not an all-inclusive list)</w:t>
      </w:r>
    </w:p>
    <w:tbl>
      <w:tblPr>
        <w:tblStyle w:val="TableGrid"/>
        <w:tblW w:w="87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736"/>
        <w:gridCol w:w="3060"/>
      </w:tblGrid>
      <w:tr w:rsidR="002F41ED" w:rsidRPr="002F41ED" w:rsidTr="000D132C">
        <w:tc>
          <w:tcPr>
            <w:tcW w:w="2952"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Stents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Artificial joints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Shunts</w:t>
            </w:r>
          </w:p>
        </w:tc>
        <w:tc>
          <w:tcPr>
            <w:tcW w:w="2736"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Grafts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Pins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Plates</w:t>
            </w:r>
          </w:p>
          <w:p w:rsidR="002F41ED" w:rsidRPr="002F41ED" w:rsidRDefault="002F41ED" w:rsidP="002F41ED">
            <w:pPr>
              <w:spacing w:line="276" w:lineRule="auto"/>
              <w:rPr>
                <w:rFonts w:asciiTheme="majorHAnsi" w:hAnsiTheme="majorHAnsi" w:cs="Arial"/>
                <w:color w:val="404040" w:themeColor="text1" w:themeTint="BF"/>
              </w:rPr>
            </w:pPr>
          </w:p>
        </w:tc>
        <w:tc>
          <w:tcPr>
            <w:tcW w:w="3060" w:type="dxa"/>
          </w:tcPr>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Screws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Anchors</w:t>
            </w:r>
          </w:p>
          <w:p w:rsidR="002F41ED" w:rsidRPr="002F41ED" w:rsidRDefault="002F41ED" w:rsidP="002F41ED">
            <w:pPr>
              <w:numPr>
                <w:ilvl w:val="0"/>
                <w:numId w:val="2"/>
              </w:numPr>
              <w:spacing w:line="276" w:lineRule="auto"/>
              <w:rPr>
                <w:rFonts w:asciiTheme="majorHAnsi" w:hAnsiTheme="majorHAnsi" w:cs="Arial"/>
                <w:color w:val="404040" w:themeColor="text1" w:themeTint="BF"/>
              </w:rPr>
            </w:pPr>
            <w:r w:rsidRPr="002F41ED">
              <w:rPr>
                <w:rFonts w:asciiTheme="majorHAnsi" w:hAnsiTheme="majorHAnsi" w:cs="Arial"/>
                <w:color w:val="404040" w:themeColor="text1" w:themeTint="BF"/>
              </w:rPr>
              <w:t>Radioactive seeds</w:t>
            </w:r>
          </w:p>
        </w:tc>
      </w:tr>
    </w:tbl>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Capital Equipment</w:t>
      </w:r>
    </w:p>
    <w:p w:rsidR="002F41ED" w:rsidRPr="002F41ED" w:rsidRDefault="002F41ED" w:rsidP="002F41ED">
      <w:pPr>
        <w:numPr>
          <w:ilvl w:val="1"/>
          <w:numId w:val="1"/>
        </w:numPr>
        <w:spacing w:before="120" w:after="120" w:line="276" w:lineRule="auto"/>
        <w:ind w:left="180" w:hanging="540"/>
        <w:rPr>
          <w:rFonts w:asciiTheme="majorHAnsi" w:eastAsia="Times New Roman" w:hAnsiTheme="majorHAnsi" w:cs="Arial"/>
        </w:rPr>
      </w:pPr>
      <w:r w:rsidRPr="002F41ED">
        <w:rPr>
          <w:rFonts w:asciiTheme="majorHAnsi" w:eastAsia="Times New Roman" w:hAnsiTheme="majorHAnsi" w:cs="Arial"/>
          <w:b/>
        </w:rPr>
        <w:t xml:space="preserve">Equipment </w:t>
      </w:r>
      <w:r w:rsidRPr="002F41ED">
        <w:rPr>
          <w:rFonts w:asciiTheme="majorHAnsi" w:eastAsia="Times New Roman" w:hAnsiTheme="majorHAnsi" w:cs="Arial"/>
        </w:rPr>
        <w:t xml:space="preserve">- Equipment, whether purchased or rented, should not be charged separately.  The equipment costs are captured via depreciation or rental cost in the Medicare cost report.  When a hospital agrees to provide a service, it is the hospital’s responsibility to have the appropriate and required equipment available for providing the service.  If the hospital has to rent a piece of equipment in order to provide the service, this is considered a cost of doing business.  These items are included in the cost of the procedure and not separately billable, with the exception of some Durable Medical Equipment (see section 9).  </w:t>
      </w:r>
    </w:p>
    <w:p w:rsidR="002F41ED" w:rsidRPr="002F41ED" w:rsidRDefault="002F41ED" w:rsidP="002F41ED">
      <w:pPr>
        <w:numPr>
          <w:ilvl w:val="1"/>
          <w:numId w:val="1"/>
        </w:numPr>
        <w:spacing w:before="120" w:after="120" w:line="276" w:lineRule="auto"/>
        <w:ind w:left="180" w:hanging="540"/>
        <w:rPr>
          <w:rFonts w:asciiTheme="majorHAnsi" w:eastAsia="Times New Roman" w:hAnsiTheme="majorHAnsi" w:cs="Arial"/>
        </w:rPr>
      </w:pPr>
      <w:r w:rsidRPr="002F41ED">
        <w:rPr>
          <w:rFonts w:asciiTheme="majorHAnsi" w:eastAsia="Times New Roman" w:hAnsiTheme="majorHAnsi" w:cs="Arial"/>
          <w:b/>
        </w:rPr>
        <w:t>Disposable supplies</w:t>
      </w:r>
      <w:r w:rsidRPr="002F41ED">
        <w:rPr>
          <w:rFonts w:asciiTheme="majorHAnsi" w:eastAsia="Times New Roman" w:hAnsiTheme="majorHAnsi" w:cs="Arial"/>
        </w:rPr>
        <w:t xml:space="preserve"> - Disposable supplies associated with capital equipment may be separately chargeable (see the proceeding sections to determine whether the item is separately chargeable or will be included in the procedure cost).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 xml:space="preserve">Durable Medical Equipment (DME) </w:t>
      </w:r>
    </w:p>
    <w:p w:rsidR="002F41ED" w:rsidRPr="002F41ED" w:rsidRDefault="002F41ED" w:rsidP="002F41ED">
      <w:pPr>
        <w:numPr>
          <w:ilvl w:val="1"/>
          <w:numId w:val="1"/>
        </w:numPr>
        <w:spacing w:before="240" w:after="120" w:line="276" w:lineRule="auto"/>
        <w:ind w:left="180" w:hanging="540"/>
        <w:rPr>
          <w:rFonts w:asciiTheme="majorHAnsi" w:eastAsia="Times New Roman" w:hAnsiTheme="majorHAnsi" w:cs="Arial"/>
          <w:b/>
        </w:rPr>
      </w:pPr>
      <w:r w:rsidRPr="002F41ED">
        <w:rPr>
          <w:rFonts w:asciiTheme="majorHAnsi" w:eastAsia="Times New Roman" w:hAnsiTheme="majorHAnsi" w:cs="Arial"/>
          <w:b/>
        </w:rPr>
        <w:t xml:space="preserve">Definition: </w:t>
      </w:r>
    </w:p>
    <w:p w:rsidR="002F41ED" w:rsidRPr="002F41ED" w:rsidRDefault="002F41ED" w:rsidP="002F41ED">
      <w:pPr>
        <w:spacing w:before="120" w:after="120" w:line="240" w:lineRule="auto"/>
        <w:ind w:left="180"/>
        <w:rPr>
          <w:rFonts w:asciiTheme="majorHAnsi" w:eastAsia="Times New Roman" w:hAnsiTheme="majorHAnsi" w:cs="Arial"/>
        </w:rPr>
      </w:pPr>
      <w:r w:rsidRPr="002F41ED">
        <w:rPr>
          <w:rFonts w:asciiTheme="majorHAnsi" w:eastAsia="Times New Roman" w:hAnsiTheme="majorHAnsi" w:cs="Arial"/>
        </w:rPr>
        <w:t xml:space="preserve">Durable Medical Equipment is defined as equipment that can withstand repeated use, is primarily used to service a medical purpose, is generally not useful to a person in absence of illness or injury, and is appropriate for use in a person’s home.  </w:t>
      </w:r>
    </w:p>
    <w:p w:rsidR="002F41ED" w:rsidRPr="002F41ED" w:rsidRDefault="002F41ED" w:rsidP="002F41ED">
      <w:pPr>
        <w:spacing w:before="120" w:after="120" w:line="276" w:lineRule="auto"/>
        <w:ind w:left="180"/>
        <w:rPr>
          <w:rFonts w:asciiTheme="majorHAnsi" w:eastAsia="Times New Roman" w:hAnsiTheme="majorHAnsi" w:cs="Arial"/>
        </w:rPr>
      </w:pPr>
      <w:r w:rsidRPr="002F41ED">
        <w:rPr>
          <w:rFonts w:asciiTheme="majorHAnsi" w:eastAsia="Times New Roman" w:hAnsiTheme="majorHAnsi" w:cs="Arial"/>
        </w:rPr>
        <w:t>Most items traditionally considered DME can only be billed by DME facilities.  Concord Hospital is not licensed as a DME facility, and therefore cannot bill to the DME MAC per Medicare DME billing regulations.  However, the following three items have been granted an exemption to these regulations and can be billed by hospitals:</w:t>
      </w:r>
    </w:p>
    <w:p w:rsidR="002F41ED" w:rsidRPr="002F41ED" w:rsidRDefault="002F41ED" w:rsidP="002F41ED">
      <w:pPr>
        <w:numPr>
          <w:ilvl w:val="0"/>
          <w:numId w:val="8"/>
        </w:numPr>
        <w:spacing w:before="120" w:after="120" w:line="276" w:lineRule="auto"/>
        <w:rPr>
          <w:rFonts w:asciiTheme="majorHAnsi" w:eastAsia="Times New Roman" w:hAnsiTheme="majorHAnsi" w:cs="Arial"/>
        </w:rPr>
      </w:pPr>
      <w:r w:rsidRPr="002F41ED">
        <w:rPr>
          <w:rFonts w:asciiTheme="majorHAnsi" w:eastAsia="Times New Roman" w:hAnsiTheme="majorHAnsi" w:cs="Arial"/>
          <w:b/>
        </w:rPr>
        <w:t>Implanted DME</w:t>
      </w:r>
      <w:r w:rsidRPr="002F41ED">
        <w:rPr>
          <w:rFonts w:asciiTheme="majorHAnsi" w:eastAsia="Times New Roman" w:hAnsiTheme="majorHAnsi" w:cs="Arial"/>
        </w:rPr>
        <w:t xml:space="preserve">, such as pacemakers and replacement joints. Concord Hospital charges for implantable DME when it meets the NUBC definition of an implant and Medicare coverage requirements.  See section 7 </w:t>
      </w:r>
    </w:p>
    <w:p w:rsidR="002F41ED" w:rsidRPr="002F41ED" w:rsidRDefault="002F41ED" w:rsidP="002F41ED">
      <w:pPr>
        <w:numPr>
          <w:ilvl w:val="0"/>
          <w:numId w:val="8"/>
        </w:numPr>
        <w:spacing w:before="120" w:after="120" w:line="276" w:lineRule="auto"/>
        <w:rPr>
          <w:rFonts w:asciiTheme="majorHAnsi" w:eastAsia="Times New Roman" w:hAnsiTheme="majorHAnsi" w:cs="Arial"/>
        </w:rPr>
      </w:pPr>
      <w:r w:rsidRPr="002F41ED">
        <w:rPr>
          <w:rFonts w:asciiTheme="majorHAnsi" w:eastAsia="Times New Roman" w:hAnsiTheme="majorHAnsi" w:cs="Arial"/>
          <w:b/>
        </w:rPr>
        <w:t>Surgical dressings</w:t>
      </w:r>
      <w:r w:rsidRPr="002F41ED">
        <w:rPr>
          <w:rFonts w:asciiTheme="majorHAnsi" w:eastAsia="Times New Roman" w:hAnsiTheme="majorHAnsi" w:cs="Arial"/>
        </w:rPr>
        <w:t xml:space="preserve"> – Concord Hospital doesn’t charge separately for surgical dressings.  The costs for these items are included in hospital overhead. </w:t>
      </w:r>
    </w:p>
    <w:p w:rsidR="002F41ED" w:rsidRPr="002F41ED" w:rsidRDefault="002F41ED" w:rsidP="002F41ED">
      <w:pPr>
        <w:numPr>
          <w:ilvl w:val="0"/>
          <w:numId w:val="8"/>
        </w:numPr>
        <w:spacing w:before="120" w:after="120" w:line="276" w:lineRule="auto"/>
        <w:rPr>
          <w:rFonts w:asciiTheme="majorHAnsi" w:eastAsia="Times New Roman" w:hAnsiTheme="majorHAnsi" w:cs="Arial"/>
        </w:rPr>
      </w:pPr>
      <w:r w:rsidRPr="002F41ED">
        <w:rPr>
          <w:rFonts w:asciiTheme="majorHAnsi" w:eastAsia="Times New Roman" w:hAnsiTheme="majorHAnsi" w:cs="Arial"/>
          <w:b/>
        </w:rPr>
        <w:t>Prosthetics and orthotics</w:t>
      </w:r>
      <w:r w:rsidRPr="002F41ED">
        <w:rPr>
          <w:rFonts w:asciiTheme="majorHAnsi" w:eastAsia="Times New Roman" w:hAnsiTheme="majorHAnsi" w:cs="Arial"/>
        </w:rPr>
        <w:t xml:space="preserve"> – Concord Hospital charges for prosthetics and orthotics when they meet Medicare’s coverage requirements. See section 9.2. </w:t>
      </w:r>
    </w:p>
    <w:p w:rsidR="002F41ED" w:rsidRPr="002F41ED" w:rsidRDefault="002F41ED" w:rsidP="002F41ED">
      <w:pPr>
        <w:numPr>
          <w:ilvl w:val="1"/>
          <w:numId w:val="1"/>
        </w:numPr>
        <w:spacing w:before="240" w:after="120" w:line="276" w:lineRule="auto"/>
        <w:ind w:left="180" w:hanging="540"/>
        <w:rPr>
          <w:rFonts w:asciiTheme="majorHAnsi" w:eastAsia="Times New Roman" w:hAnsiTheme="majorHAnsi" w:cs="Arial"/>
          <w:b/>
        </w:rPr>
      </w:pPr>
      <w:r w:rsidRPr="002F41ED">
        <w:rPr>
          <w:rFonts w:asciiTheme="majorHAnsi" w:eastAsia="Times New Roman" w:hAnsiTheme="majorHAnsi" w:cs="Arial"/>
          <w:b/>
        </w:rPr>
        <w:t xml:space="preserve">Prosthetics and Orthotics: </w:t>
      </w:r>
    </w:p>
    <w:p w:rsidR="002F41ED" w:rsidRPr="002F41ED" w:rsidRDefault="002F41ED" w:rsidP="002F41ED">
      <w:pPr>
        <w:numPr>
          <w:ilvl w:val="2"/>
          <w:numId w:val="1"/>
        </w:numPr>
        <w:spacing w:before="120" w:after="120" w:line="276" w:lineRule="auto"/>
        <w:ind w:left="900" w:hanging="720"/>
        <w:rPr>
          <w:rFonts w:asciiTheme="majorHAnsi" w:eastAsia="Times New Roman" w:hAnsiTheme="majorHAnsi" w:cs="Arial"/>
          <w:b/>
        </w:rPr>
      </w:pPr>
      <w:r w:rsidRPr="002F41ED">
        <w:rPr>
          <w:rFonts w:asciiTheme="majorHAnsi" w:eastAsia="Times New Roman" w:hAnsiTheme="majorHAnsi" w:cs="Arial"/>
          <w:b/>
        </w:rPr>
        <w:lastRenderedPageBreak/>
        <w:t xml:space="preserve">Coverage: </w:t>
      </w:r>
      <w:r w:rsidRPr="002F41ED">
        <w:rPr>
          <w:rFonts w:asciiTheme="majorHAnsi" w:eastAsia="Times New Roman" w:hAnsiTheme="majorHAnsi" w:cs="Arial"/>
        </w:rPr>
        <w:t xml:space="preserve">Medicare covers prosthetic and orthotic devices only when these items are used as permanent replacements for malfunctioning or missing organs or as supportive orthopedic appliances.  Medicare doesn’t cover these devices when used to deliver a routine service.  For example, Foley catheters and urinary drainage bags are routinely used in hospitals; however, they would only be considered prosthetic if used as a urinary replacement device for a permanently incontinent patient. </w:t>
      </w:r>
    </w:p>
    <w:p w:rsidR="002F41ED" w:rsidRPr="002F41ED" w:rsidRDefault="002F41ED" w:rsidP="002F41ED">
      <w:pPr>
        <w:numPr>
          <w:ilvl w:val="2"/>
          <w:numId w:val="1"/>
        </w:numPr>
        <w:spacing w:before="120" w:after="120" w:line="276" w:lineRule="auto"/>
        <w:ind w:left="900" w:hanging="720"/>
        <w:rPr>
          <w:rFonts w:asciiTheme="majorHAnsi" w:eastAsia="Times New Roman" w:hAnsiTheme="majorHAnsi" w:cs="Arial"/>
          <w:b/>
        </w:rPr>
      </w:pPr>
      <w:r w:rsidRPr="002F41ED">
        <w:rPr>
          <w:rFonts w:asciiTheme="majorHAnsi" w:eastAsia="Times New Roman" w:hAnsiTheme="majorHAnsi" w:cs="Arial"/>
          <w:b/>
        </w:rPr>
        <w:t xml:space="preserve">Charging: </w:t>
      </w:r>
      <w:r w:rsidRPr="002F41ED">
        <w:rPr>
          <w:rFonts w:asciiTheme="majorHAnsi" w:eastAsia="Times New Roman" w:hAnsiTheme="majorHAnsi" w:cs="Arial"/>
        </w:rPr>
        <w:t xml:space="preserve">The </w:t>
      </w:r>
      <w:proofErr w:type="spellStart"/>
      <w:r w:rsidRPr="002F41ED">
        <w:rPr>
          <w:rFonts w:asciiTheme="majorHAnsi" w:eastAsia="Times New Roman" w:hAnsiTheme="majorHAnsi" w:cs="Arial"/>
        </w:rPr>
        <w:t>chargemaster</w:t>
      </w:r>
      <w:proofErr w:type="spellEnd"/>
      <w:r w:rsidRPr="002F41ED">
        <w:rPr>
          <w:rFonts w:asciiTheme="majorHAnsi" w:eastAsia="Times New Roman" w:hAnsiTheme="majorHAnsi" w:cs="Arial"/>
        </w:rPr>
        <w:t xml:space="preserve"> has been updated with prosthetic and orthotic DME items that Concord Hospital can bill for per the DME billing guidelines.  If you need to charge a DME item that is not in the charge master, email the Revenue Integrity Coordinator and s/he will advise whether the item is chargeable or not. </w:t>
      </w:r>
    </w:p>
    <w:p w:rsidR="002F41ED" w:rsidRPr="002F41ED" w:rsidRDefault="002F41ED" w:rsidP="002F41ED">
      <w:pPr>
        <w:numPr>
          <w:ilvl w:val="1"/>
          <w:numId w:val="1"/>
        </w:numPr>
        <w:spacing w:before="240" w:after="120" w:line="276" w:lineRule="auto"/>
        <w:ind w:left="180" w:hanging="540"/>
        <w:rPr>
          <w:rFonts w:asciiTheme="majorHAnsi" w:eastAsia="Times New Roman" w:hAnsiTheme="majorHAnsi" w:cs="Arial"/>
          <w:b/>
        </w:rPr>
      </w:pPr>
      <w:proofErr w:type="spellStart"/>
      <w:r w:rsidRPr="002F41ED">
        <w:rPr>
          <w:rFonts w:asciiTheme="majorHAnsi" w:eastAsia="Times New Roman" w:hAnsiTheme="majorHAnsi" w:cs="Arial"/>
          <w:b/>
        </w:rPr>
        <w:t>Chargemaster</w:t>
      </w:r>
      <w:proofErr w:type="spellEnd"/>
      <w:r w:rsidRPr="002F41ED">
        <w:rPr>
          <w:rFonts w:asciiTheme="majorHAnsi" w:eastAsia="Times New Roman" w:hAnsiTheme="majorHAnsi" w:cs="Arial"/>
          <w:b/>
        </w:rPr>
        <w:t xml:space="preserve"> Setup for Durable Medical Equipment</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 xml:space="preserve">The Revenue Integrity department will consult the Medicare OPPS Addendum B when determining how to set up the SIM for DME.  </w:t>
      </w:r>
    </w:p>
    <w:p w:rsidR="002F41ED" w:rsidRPr="002F41ED" w:rsidRDefault="002F41ED" w:rsidP="002F41ED">
      <w:pPr>
        <w:spacing w:before="120" w:after="120" w:line="240" w:lineRule="auto"/>
        <w:ind w:left="90"/>
        <w:rPr>
          <w:rFonts w:asciiTheme="majorHAnsi" w:eastAsia="Times New Roman" w:hAnsiTheme="majorHAnsi" w:cs="Arial"/>
        </w:rPr>
      </w:pPr>
      <w:r w:rsidRPr="002F41ED">
        <w:rPr>
          <w:rFonts w:asciiTheme="majorHAnsi" w:eastAsia="Times New Roman" w:hAnsiTheme="majorHAnsi" w:cs="Arial"/>
        </w:rPr>
        <w:t xml:space="preserve">The following items will be assigned a HCPCS code if one is available.  </w:t>
      </w:r>
    </w:p>
    <w:p w:rsidR="002F41ED" w:rsidRPr="002F41ED" w:rsidRDefault="002F41ED" w:rsidP="002F41ED">
      <w:pPr>
        <w:numPr>
          <w:ilvl w:val="0"/>
          <w:numId w:val="6"/>
        </w:numPr>
        <w:spacing w:before="120" w:after="120" w:line="276" w:lineRule="auto"/>
        <w:ind w:left="450"/>
        <w:rPr>
          <w:rFonts w:asciiTheme="majorHAnsi" w:eastAsia="Times New Roman" w:hAnsiTheme="majorHAnsi" w:cs="Arial"/>
        </w:rPr>
      </w:pPr>
      <w:r w:rsidRPr="002F41ED">
        <w:rPr>
          <w:rFonts w:asciiTheme="majorHAnsi" w:eastAsia="Times New Roman" w:hAnsiTheme="majorHAnsi" w:cs="Arial"/>
        </w:rPr>
        <w:t xml:space="preserve">Items designated with an “A” OPPS status indicator AND is considered a non-implantable prosthetic or orthotic. Supply items considered prosthetics and orthotics can be identified with the presence of Category PO in the DMEPOS Fee Schedule. </w:t>
      </w:r>
    </w:p>
    <w:p w:rsidR="002F41ED" w:rsidRPr="002F41ED" w:rsidRDefault="002F41ED" w:rsidP="002F41ED">
      <w:pPr>
        <w:numPr>
          <w:ilvl w:val="0"/>
          <w:numId w:val="6"/>
        </w:numPr>
        <w:spacing w:before="120" w:after="120" w:line="276" w:lineRule="auto"/>
        <w:ind w:left="450"/>
        <w:rPr>
          <w:rFonts w:asciiTheme="majorHAnsi" w:eastAsia="Times New Roman" w:hAnsiTheme="majorHAnsi" w:cs="Arial"/>
        </w:rPr>
      </w:pPr>
      <w:r w:rsidRPr="002F41ED">
        <w:rPr>
          <w:rFonts w:asciiTheme="majorHAnsi" w:eastAsia="Times New Roman" w:hAnsiTheme="majorHAnsi" w:cs="Arial"/>
        </w:rPr>
        <w:t>Items designated with an “N” (packaged items) OPPS status indicator</w:t>
      </w:r>
    </w:p>
    <w:p w:rsidR="002F41ED" w:rsidRPr="002F41ED" w:rsidRDefault="002F41ED" w:rsidP="002F41ED">
      <w:pPr>
        <w:numPr>
          <w:ilvl w:val="0"/>
          <w:numId w:val="6"/>
        </w:numPr>
        <w:spacing w:before="120" w:after="120" w:line="276" w:lineRule="auto"/>
        <w:ind w:left="450"/>
        <w:rPr>
          <w:rFonts w:asciiTheme="majorHAnsi" w:eastAsia="Times New Roman" w:hAnsiTheme="majorHAnsi" w:cs="Arial"/>
        </w:rPr>
      </w:pPr>
      <w:r w:rsidRPr="002F41ED">
        <w:rPr>
          <w:rFonts w:asciiTheme="majorHAnsi" w:eastAsia="Times New Roman" w:hAnsiTheme="majorHAnsi" w:cs="Arial"/>
        </w:rPr>
        <w:t>Items designated with an  “H” (pass-through devices) OPPS status indicator</w:t>
      </w:r>
    </w:p>
    <w:p w:rsidR="002F41ED" w:rsidRPr="002F41ED" w:rsidRDefault="002F41ED" w:rsidP="002F41ED">
      <w:pPr>
        <w:spacing w:before="120" w:after="120" w:line="276" w:lineRule="auto"/>
        <w:ind w:left="90"/>
        <w:rPr>
          <w:rFonts w:asciiTheme="majorHAnsi" w:eastAsia="Times New Roman" w:hAnsiTheme="majorHAnsi" w:cs="Arial"/>
        </w:rPr>
      </w:pPr>
      <w:r w:rsidRPr="002F41ED">
        <w:rPr>
          <w:rFonts w:asciiTheme="majorHAnsi" w:eastAsia="Times New Roman" w:hAnsiTheme="majorHAnsi" w:cs="Arial"/>
        </w:rPr>
        <w:t>If the item is assigned another status indicator, such as “A,” (excluding P&amp;O), the supply is considered incident to a physician service and the HCPCS code should not be billed on the claim.  Instead, the charge will be reported without a HCPCS and the appropriate packaged revenue code. A list of packaged revenue codes can be found in the OPPS Final Rule.</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Kits, Trays, Packs, and Sets</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 xml:space="preserve">Kits, trays, packs, and sets will be carefully reviewed by the clinical department and Revenue Integrity for inclusion of routine items that should not be separately charged.  Additionally, if the kit contains individual items that are separately considered non-routine, those items should be charged separately.  </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 xml:space="preserve">If the kit is determined to be chargeable, and does not have a HCPCS code, then it can be billed under the appropriate packaged revenue code without a HCPCS code.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Parenteral and Enteral Nutrition Services</w:t>
      </w:r>
    </w:p>
    <w:p w:rsidR="002F41ED" w:rsidRPr="002F41ED" w:rsidRDefault="002F41ED" w:rsidP="002F41ED">
      <w:pPr>
        <w:numPr>
          <w:ilvl w:val="1"/>
          <w:numId w:val="1"/>
        </w:numPr>
        <w:spacing w:before="240" w:after="120" w:line="276" w:lineRule="auto"/>
        <w:ind w:left="360" w:hanging="720"/>
        <w:rPr>
          <w:rFonts w:asciiTheme="majorHAnsi" w:eastAsia="Times New Roman" w:hAnsiTheme="majorHAnsi" w:cs="Arial"/>
          <w:b/>
        </w:rPr>
      </w:pPr>
      <w:r w:rsidRPr="002F41ED">
        <w:rPr>
          <w:rFonts w:asciiTheme="majorHAnsi" w:eastAsia="Times New Roman" w:hAnsiTheme="majorHAnsi" w:cs="Arial"/>
          <w:b/>
        </w:rPr>
        <w:t>PEG Tubes</w:t>
      </w:r>
      <w:r w:rsidRPr="002F41ED">
        <w:rPr>
          <w:rFonts w:asciiTheme="majorHAnsi" w:eastAsia="Times New Roman" w:hAnsiTheme="majorHAnsi" w:cs="Arial"/>
        </w:rPr>
        <w:t xml:space="preserve"> – Percutaneous Endoscopic Gastrostomy (PEG) tubes are considered implants and should be reported without a HCPCS under revenue code 278.  There are B HCPCS codes for these items, but these codes cannot be reported by facilities.  </w:t>
      </w:r>
    </w:p>
    <w:p w:rsidR="002F41ED" w:rsidRPr="002F41ED" w:rsidRDefault="002F41ED" w:rsidP="002F41ED">
      <w:pPr>
        <w:numPr>
          <w:ilvl w:val="1"/>
          <w:numId w:val="1"/>
        </w:numPr>
        <w:spacing w:before="240" w:after="120" w:line="276" w:lineRule="auto"/>
        <w:ind w:left="360" w:hanging="720"/>
        <w:rPr>
          <w:rFonts w:asciiTheme="majorHAnsi" w:eastAsia="Times New Roman" w:hAnsiTheme="majorHAnsi" w:cs="Arial"/>
          <w:b/>
        </w:rPr>
      </w:pPr>
      <w:r w:rsidRPr="002F41ED">
        <w:rPr>
          <w:rFonts w:asciiTheme="majorHAnsi" w:eastAsia="Times New Roman" w:hAnsiTheme="majorHAnsi" w:cs="Arial"/>
          <w:b/>
        </w:rPr>
        <w:t xml:space="preserve">Enteral nutrition (EN) and total parenteral nutrition (TPN) – </w:t>
      </w:r>
      <w:r w:rsidRPr="002F41ED">
        <w:rPr>
          <w:rFonts w:asciiTheme="majorHAnsi" w:eastAsia="Times New Roman" w:hAnsiTheme="majorHAnsi" w:cs="Arial"/>
        </w:rPr>
        <w:t xml:space="preserve">Typically, only DME providers can bill for enteral and parenteral nutritional supplements.  </w:t>
      </w:r>
    </w:p>
    <w:p w:rsidR="002F41ED" w:rsidRPr="002F41ED" w:rsidRDefault="002F41ED" w:rsidP="002F41ED">
      <w:pPr>
        <w:spacing w:before="240" w:after="120" w:line="276" w:lineRule="auto"/>
        <w:ind w:left="-360"/>
        <w:rPr>
          <w:rFonts w:asciiTheme="majorHAnsi" w:eastAsia="Times New Roman" w:hAnsiTheme="majorHAnsi" w:cs="Arial"/>
          <w:b/>
        </w:rPr>
      </w:pP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References:</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Medicare Claims Processing Manual (PUB. 100-04), Chapter 4, Section 10, Subsection 10.4: Packaging</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Medicare Claims Processing Manual (PUB. 100-04), Chapter 20, Section 10, Section 10.1.2: Prosthetic Devices – Coverage Definition</w:t>
      </w:r>
    </w:p>
    <w:p w:rsidR="002F41ED" w:rsidRPr="002F41ED" w:rsidRDefault="002F41ED" w:rsidP="002F41ED">
      <w:pPr>
        <w:spacing w:before="120" w:after="120" w:line="276" w:lineRule="auto"/>
        <w:ind w:left="-360"/>
        <w:rPr>
          <w:rFonts w:asciiTheme="majorHAnsi" w:eastAsia="Times New Roman" w:hAnsiTheme="majorHAnsi" w:cs="Arial"/>
        </w:rPr>
      </w:pPr>
      <w:r w:rsidRPr="002F41ED">
        <w:rPr>
          <w:rFonts w:asciiTheme="majorHAnsi" w:eastAsia="Times New Roman" w:hAnsiTheme="majorHAnsi" w:cs="Arial"/>
        </w:rPr>
        <w:t>Medicare Benefit Policy Manual (PUB. 100-02), Chapter 14, Section 10: Coverage of Medical Devices</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Related Documents:</w:t>
      </w:r>
    </w:p>
    <w:p w:rsidR="002F41ED" w:rsidRPr="002F41ED" w:rsidRDefault="002F41ED" w:rsidP="002F41ED">
      <w:pPr>
        <w:spacing w:before="120" w:after="120" w:line="276" w:lineRule="auto"/>
        <w:ind w:left="-360"/>
        <w:rPr>
          <w:rFonts w:asciiTheme="majorHAnsi" w:eastAsia="Times New Roman" w:hAnsiTheme="majorHAnsi" w:cs="Times New Roman"/>
        </w:rPr>
      </w:pPr>
      <w:hyperlink r:id="rId8" w:history="1">
        <w:r w:rsidRPr="002F41ED">
          <w:rPr>
            <w:rFonts w:asciiTheme="majorHAnsi" w:eastAsia="Times New Roman" w:hAnsiTheme="majorHAnsi" w:cs="Times New Roman"/>
            <w:color w:val="0563C1" w:themeColor="hyperlink"/>
            <w:u w:val="single"/>
          </w:rPr>
          <w:t>Revenue Integrity - CDM - CDM Maintenance</w:t>
        </w:r>
      </w:hyperlink>
      <w:r w:rsidRPr="002F41ED">
        <w:rPr>
          <w:rFonts w:asciiTheme="majorHAnsi" w:eastAsia="Times New Roman" w:hAnsiTheme="majorHAnsi" w:cs="Times New Roman"/>
        </w:rPr>
        <w:t xml:space="preserve"> </w:t>
      </w:r>
    </w:p>
    <w:p w:rsidR="002F41ED" w:rsidRPr="002F41ED" w:rsidRDefault="002F41ED" w:rsidP="002F41ED">
      <w:pPr>
        <w:spacing w:before="120" w:after="120" w:line="276" w:lineRule="auto"/>
        <w:ind w:left="-360"/>
        <w:rPr>
          <w:rFonts w:asciiTheme="majorHAnsi" w:eastAsia="Times New Roman" w:hAnsiTheme="majorHAnsi" w:cs="Times New Roman"/>
        </w:rPr>
      </w:pPr>
      <w:hyperlink r:id="rId9" w:history="1">
        <w:r w:rsidRPr="002F41ED">
          <w:rPr>
            <w:rFonts w:asciiTheme="majorHAnsi" w:eastAsia="Times New Roman" w:hAnsiTheme="majorHAnsi" w:cs="Times New Roman"/>
            <w:color w:val="0563C1" w:themeColor="hyperlink"/>
            <w:u w:val="single"/>
          </w:rPr>
          <w:t>Revenue Integrity - CDM - Pricing Policy</w:t>
        </w:r>
      </w:hyperlink>
      <w:r w:rsidRPr="002F41ED">
        <w:rPr>
          <w:rFonts w:asciiTheme="majorHAnsi" w:eastAsia="Times New Roman" w:hAnsiTheme="majorHAnsi" w:cs="Times New Roman"/>
        </w:rPr>
        <w:t xml:space="preserve"> </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Authorizing Document:</w:t>
      </w:r>
    </w:p>
    <w:p w:rsidR="002F41ED" w:rsidRPr="002F41ED" w:rsidRDefault="002F41ED" w:rsidP="002F41ED">
      <w:pPr>
        <w:spacing w:before="120" w:after="120" w:line="276" w:lineRule="auto"/>
        <w:ind w:left="-360"/>
        <w:rPr>
          <w:rFonts w:asciiTheme="majorHAnsi" w:eastAsia="Times New Roman" w:hAnsiTheme="majorHAnsi" w:cs="Times New Roman"/>
        </w:rPr>
      </w:pPr>
      <w:r w:rsidRPr="002F41ED">
        <w:rPr>
          <w:rFonts w:asciiTheme="majorHAnsi" w:eastAsia="Times New Roman" w:hAnsiTheme="majorHAnsi" w:cs="Times New Roman"/>
        </w:rPr>
        <w:t>N/A</w:t>
      </w:r>
    </w:p>
    <w:p w:rsidR="002F41ED" w:rsidRPr="002F41ED" w:rsidRDefault="002F41ED" w:rsidP="002F41ED">
      <w:pPr>
        <w:numPr>
          <w:ilvl w:val="0"/>
          <w:numId w:val="1"/>
        </w:numPr>
        <w:spacing w:before="240" w:after="120" w:line="276" w:lineRule="auto"/>
        <w:ind w:left="-360"/>
        <w:rPr>
          <w:rFonts w:asciiTheme="majorHAnsi" w:eastAsia="Times New Roman" w:hAnsiTheme="majorHAnsi" w:cs="Arial"/>
          <w:b/>
        </w:rPr>
      </w:pPr>
      <w:r w:rsidRPr="002F41ED">
        <w:rPr>
          <w:rFonts w:asciiTheme="majorHAnsi" w:eastAsia="Times New Roman" w:hAnsiTheme="majorHAnsi" w:cs="Arial"/>
          <w:b/>
        </w:rPr>
        <w:t>Associated Committees:</w:t>
      </w:r>
    </w:p>
    <w:p w:rsidR="002F41ED" w:rsidRPr="002F41ED" w:rsidRDefault="002F41ED" w:rsidP="002F41ED">
      <w:pPr>
        <w:spacing w:before="120" w:after="120" w:line="276" w:lineRule="auto"/>
        <w:ind w:left="-360"/>
        <w:rPr>
          <w:rFonts w:asciiTheme="majorHAnsi" w:eastAsia="Times New Roman" w:hAnsiTheme="majorHAnsi" w:cs="Arial"/>
          <w:b/>
        </w:rPr>
      </w:pPr>
      <w:r w:rsidRPr="002F41ED">
        <w:rPr>
          <w:rFonts w:asciiTheme="majorHAnsi" w:eastAsia="Times New Roman" w:hAnsiTheme="majorHAnsi" w:cs="Arial"/>
        </w:rPr>
        <w:t>Charge master Committee</w:t>
      </w:r>
    </w:p>
    <w:p w:rsidR="002F41ED" w:rsidRPr="002F41ED" w:rsidRDefault="002F41ED" w:rsidP="002F41ED">
      <w:pPr>
        <w:spacing w:before="120" w:after="120" w:line="276" w:lineRule="auto"/>
        <w:rPr>
          <w:rFonts w:asciiTheme="majorHAnsi" w:eastAsia="Times New Roman" w:hAnsiTheme="majorHAnsi" w:cs="Times New Roman"/>
        </w:rPr>
      </w:pPr>
      <w:r w:rsidRPr="002F41ED">
        <w:rPr>
          <w:rFonts w:asciiTheme="majorHAnsi" w:eastAsia="Times New Roman" w:hAnsiTheme="majorHAnsi" w:cs="Times New Roman"/>
        </w:rPr>
        <w:br w:type="page"/>
      </w:r>
    </w:p>
    <w:p w:rsidR="002F41ED" w:rsidRPr="002F41ED" w:rsidRDefault="002F41ED" w:rsidP="002F41ED">
      <w:pPr>
        <w:spacing w:after="200" w:line="276" w:lineRule="auto"/>
        <w:ind w:left="-360"/>
        <w:contextualSpacing/>
        <w:rPr>
          <w:rFonts w:ascii="Cambria" w:eastAsia="Times New Roman" w:hAnsi="Cambria" w:cs="Arial"/>
          <w:b/>
          <w:sz w:val="24"/>
          <w:szCs w:val="24"/>
        </w:rPr>
      </w:pPr>
      <w:r w:rsidRPr="002F41ED">
        <w:rPr>
          <w:rFonts w:ascii="Cambria" w:eastAsia="Times New Roman" w:hAnsi="Cambria" w:cs="Arial"/>
          <w:b/>
          <w:sz w:val="24"/>
          <w:szCs w:val="24"/>
        </w:rPr>
        <w:lastRenderedPageBreak/>
        <w:t>Appendix A: Decision Tree for Routine vs Non-Routine Supplies</w:t>
      </w:r>
    </w:p>
    <w:p w:rsidR="002F41ED" w:rsidRPr="002F41ED" w:rsidRDefault="002F41ED" w:rsidP="002F41ED">
      <w:pPr>
        <w:spacing w:after="200" w:line="276" w:lineRule="auto"/>
        <w:ind w:left="-360"/>
        <w:contextualSpacing/>
        <w:rPr>
          <w:rFonts w:ascii="Cambria" w:eastAsia="Times New Roman" w:hAnsi="Cambria" w:cs="Arial"/>
          <w:b/>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3288"/>
        <w:gridCol w:w="1170"/>
        <w:gridCol w:w="1080"/>
      </w:tblGrid>
      <w:tr w:rsidR="002F41ED" w:rsidRPr="002F41ED" w:rsidTr="000D132C">
        <w:trPr>
          <w:trHeight w:val="258"/>
        </w:trPr>
        <w:tc>
          <w:tcPr>
            <w:tcW w:w="4878" w:type="dxa"/>
            <w:gridSpan w:val="2"/>
            <w:shd w:val="clear" w:color="auto" w:fill="D9D9D9" w:themeFill="background1" w:themeFillShade="D9"/>
          </w:tcPr>
          <w:p w:rsidR="002F41ED" w:rsidRPr="002F41ED" w:rsidRDefault="002F41ED" w:rsidP="002F41ED">
            <w:pPr>
              <w:spacing w:line="276" w:lineRule="auto"/>
              <w:contextualSpacing/>
              <w:rPr>
                <w:rFonts w:asciiTheme="majorHAnsi" w:hAnsiTheme="majorHAnsi" w:cs="Arial"/>
                <w:szCs w:val="24"/>
              </w:rPr>
            </w:pPr>
            <w:r w:rsidRPr="002F41ED">
              <w:rPr>
                <w:rFonts w:asciiTheme="majorHAnsi" w:hAnsiTheme="majorHAnsi" w:cs="Arial"/>
                <w:szCs w:val="24"/>
              </w:rPr>
              <w:t xml:space="preserve">Is it medically necessary and furnished at the direction of a physician? </w:t>
            </w:r>
          </w:p>
        </w:tc>
        <w:tc>
          <w:tcPr>
            <w:tcW w:w="1170" w:type="dxa"/>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95885</wp:posOffset>
                      </wp:positionV>
                      <wp:extent cx="286385" cy="0"/>
                      <wp:effectExtent l="12065" t="76835" r="25400" b="850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19050">
                                <a:solidFill>
                                  <a:srgbClr val="4E612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4B77CF8" id="_x0000_t32" coordsize="21600,21600" o:spt="32" o:oned="t" path="m,l21600,21600e" filled="f">
                      <v:path arrowok="t" fillok="f" o:connecttype="none"/>
                      <o:lock v:ext="edit" shapetype="t"/>
                    </v:shapetype>
                    <v:shape id="Straight Arrow Connector 10" o:spid="_x0000_s1026" type="#_x0000_t32" style="position:absolute;margin-left:19.7pt;margin-top:7.55pt;width:2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NOwIAAGsEAAAOAAAAZHJzL2Uyb0RvYy54bWysVMtu2zAQvBfoPxC8O5IcxXUE20Eg2b2k&#10;rYGkH0CTlEWU4hIkbdko+u9d0o8m7aUoeqGX2tfs7NCzh0OvyV46r8DMaXGTUyINB6HMdk6/vqxG&#10;U0p8YEYwDUbO6VF6+rB4/2422EqOoQMtpCNYxPhqsHPahWCrLPO8kz3zN2ClQWcLrmcBr26bCccG&#10;rN7rbJznk2wAJ6wDLr3Hr83JSRepfttKHr60rZeB6DlFbCGdLp2beGaLGau2jtlO8TMM9g8oeqYM&#10;Nr2WalhgZOfUH6V6xR14aMMNhz6DtlVcphlwmiL/bZrnjlmZZkFyvL3S5P9fWf55v3ZECdwd0mNY&#10;jzt6Do6pbRfIo3MwkBqMQR7BEQxBvgbrK0yrzdrFifnBPNsn4N88MVB3zGxlwv1ytFiriBnZm5R4&#10;8Ra7boZPIDCG7QIk8g6t62NJpIUc0o6O1x3JQyAcP46nk9vpHSX84spYdcmzzoePEnoSjTn15zmu&#10;AxSpC9s/+RBRseqSEJsaWCmtkx60IQNCv8/v8pThQSsRvTHOu+2m1o7sGUqqXE6K8TTNiJ7XYQ52&#10;RqRqnWRiebYDUxptEhI5LPJLY69eCkq0xCcUrRM4bWI7nBvhnq2TpL7f5/fL6XJajsrxZDkq86YZ&#10;Pa7qcjRZFR/umtumrpviR0RelFWnhJAmgr/Iuyj/Tj7nh3YS5lXgV5qyt9UTnwj28ptAp8XHXZ9U&#10;swFxXLs4XdQAKjoFn19ffDKv7ynq13/E4icAAAD//wMAUEsDBBQABgAIAAAAIQBdKJHn1gAAAAcB&#10;AAAPAAAAZHJzL2Rvd25yZXYueG1sTI7dToNAEIXvTXyHzZh4Z3fRllRkaQxR7237AFMYgcjOIrsF&#10;+vaO8UIvz0/O+fLd4no10Rg6zxaSlQFFXPm648bC8fB6twUVInKNvWeycKEAu+L6Kses9jO/07SP&#10;jZIRDhlaaGMcMq1D1ZLDsPIDsWQffnQYRY6NrkecZdz1+t6YVDvsWB5aHKhsqfrcn52FdF7MC3pq&#10;kq+JDyW+XWaTltbe3izPT6AiLfGvDD/4gg6FMJ38meugegsPj2tpir9JQEm+XW9AnX61LnL9n7/4&#10;BgAA//8DAFBLAQItABQABgAIAAAAIQC2gziS/gAAAOEBAAATAAAAAAAAAAAAAAAAAAAAAABbQ29u&#10;dGVudF9UeXBlc10ueG1sUEsBAi0AFAAGAAgAAAAhADj9If/WAAAAlAEAAAsAAAAAAAAAAAAAAAAA&#10;LwEAAF9yZWxzLy5yZWxzUEsBAi0AFAAGAAgAAAAhAGb0t407AgAAawQAAA4AAAAAAAAAAAAAAAAA&#10;LgIAAGRycy9lMm9Eb2MueG1sUEsBAi0AFAAGAAgAAAAhAF0okefWAAAABwEAAA8AAAAAAAAAAAAA&#10;AAAAlQQAAGRycy9kb3ducmV2LnhtbFBLBQYAAAAABAAEAPMAAACYBQAAAAA=&#10;" strokecolor="#4e6128" strokeweight="1.5pt">
                      <v:stroke endarrow="open"/>
                    </v:shape>
                  </w:pict>
                </mc:Fallback>
              </mc:AlternateContent>
            </w:r>
            <w:r w:rsidRPr="002F41ED">
              <w:rPr>
                <w:rFonts w:asciiTheme="majorHAnsi" w:hAnsiTheme="majorHAnsi" w:cs="Arial"/>
                <w:b/>
                <w:color w:val="525252" w:themeColor="accent3" w:themeShade="80"/>
                <w:szCs w:val="24"/>
              </w:rPr>
              <w:t>No</w:t>
            </w:r>
          </w:p>
        </w:tc>
        <w:tc>
          <w:tcPr>
            <w:tcW w:w="1080" w:type="dxa"/>
            <w:shd w:val="clear" w:color="auto" w:fill="EDEDED" w:themeFill="accent3" w:themeFillTint="33"/>
          </w:tcPr>
          <w:p w:rsidR="002F41ED" w:rsidRPr="002F41ED" w:rsidRDefault="002F41ED" w:rsidP="002F41ED">
            <w:pPr>
              <w:spacing w:line="276" w:lineRule="auto"/>
              <w:contextualSpacing/>
              <w:rPr>
                <w:rFonts w:asciiTheme="majorHAnsi" w:hAnsiTheme="majorHAnsi" w:cs="Arial"/>
                <w:b/>
                <w:szCs w:val="24"/>
              </w:rPr>
            </w:pPr>
            <w:r w:rsidRPr="002F41ED">
              <w:rPr>
                <w:rFonts w:asciiTheme="majorHAnsi" w:hAnsiTheme="majorHAnsi" w:cs="Arial"/>
                <w:b/>
                <w:color w:val="525252" w:themeColor="accent3" w:themeShade="80"/>
                <w:szCs w:val="24"/>
              </w:rPr>
              <w:t>Routine</w:t>
            </w:r>
          </w:p>
        </w:tc>
      </w:tr>
      <w:tr w:rsidR="002F41ED" w:rsidRPr="002F41ED" w:rsidTr="000D132C">
        <w:trPr>
          <w:trHeight w:val="536"/>
        </w:trPr>
        <w:tc>
          <w:tcPr>
            <w:tcW w:w="4878" w:type="dxa"/>
            <w:gridSpan w:val="2"/>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111760</wp:posOffset>
                      </wp:positionH>
                      <wp:positionV relativeFrom="paragraph">
                        <wp:posOffset>52070</wp:posOffset>
                      </wp:positionV>
                      <wp:extent cx="0" cy="254635"/>
                      <wp:effectExtent l="83185" t="13970" r="78740" b="266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19050">
                                <a:solidFill>
                                  <a:srgbClr val="243F6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169FC" id="Straight Arrow Connector 9" o:spid="_x0000_s1026" type="#_x0000_t32" style="position:absolute;margin-left:8.8pt;margin-top:4.1pt;width:0;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OAOgIAAGkEAAAOAAAAZHJzL2Uyb0RvYy54bWysVE1v2zAMvQ/YfxB0T22nTtYYdYrCTnbp&#10;1gLtfoAiybEwWRQkNU4w7L+PUj62bpdh2EWmJPLxkXzy7d1+0GQnnVdgalpc5ZRIw0Eos63pl5f1&#10;5IYSH5gRTIORNT1IT++W79/djraSU+hBC+kIghhfjbamfQi2yjLPezkwfwVWGrzswA0s4NZtM+HY&#10;iOiDzqZ5Ps9GcMI64NJ7PG2Pl3SZ8LtO8vDYdV4GomuK3EJaXVo3cc2Wt6zaOmZ7xU802D+wGJgy&#10;mPQC1bLAyKtTf0ANijvw0IUrDkMGXae4TDVgNUX+WzXPPbMy1YLN8fbSJv//YPnn3ZMjStR0QYlh&#10;A47oOTimtn0g987BSBowBtsIjixit0brKwxqzJOL9fK9ebYPwL96YqDpmdnKxPrlYBGqiBHZm5C4&#10;8RZzbsZPINCHvQZIrdt3boiQ2BSyTxM6XCYk94Hw4yHH0+msnF/PEjirznHW+fBRwkCiUVN/KuPC&#10;v0hZ2O7Bh8iKVeeAmNTAWmmd1KANGZH6Ip/lKcKDViLeRj/vtptGO7JjKKhpeb2eJw0h2hs3B69G&#10;JLReMrE62YEpjTYJqTkstpfGXIMUlGiJDyhaR3LaxHRYN9I9WUdBfVvki9XN6qaclNP5alLmbTu5&#10;XzflZL4uPsza67Zp2uJ7ZF6UVa+EkCaSP4u7KP9OPKdndpTlRd6XNmVv0VM/kez5m0inwcdZH1Wz&#10;AXF4crG6qAHUc3I+vb34YH7dJ6+ff4jlDwAAAP//AwBQSwMEFAAGAAgAAAAhAGxjl+3bAAAABgEA&#10;AA8AAABkcnMvZG93bnJldi54bWxMjk1PwzAQRO9I/AdrkbhRh1LaKMSpEAgQnNqmCI7bePMB8TqK&#10;3Sb8e5wTHJ9mNPPS9WhacaLeNZYVXM8iEMSF1Q1XCvb501UMwnlkja1lUvBDDtbZ+VmKibYDb+m0&#10;85UII+wSVFB73yVSuqImg25mO+KQlbY36AP2ldQ9DmHctHIeRUtpsOHwUGNHDzUV37ujUfBYbra3&#10;w+vHc7N48y9f3Xtefm5ypS4vxvs7EJ5G/1eGST+oQxacDvbI2ok28GoZmgriOYgpnvCgYBHfgMxS&#10;+V8/+wUAAP//AwBQSwECLQAUAAYACAAAACEAtoM4kv4AAADhAQAAEwAAAAAAAAAAAAAAAAAAAAAA&#10;W0NvbnRlbnRfVHlwZXNdLnhtbFBLAQItABQABgAIAAAAIQA4/SH/1gAAAJQBAAALAAAAAAAAAAAA&#10;AAAAAC8BAABfcmVscy8ucmVsc1BLAQItABQABgAIAAAAIQC5LBOAOgIAAGkEAAAOAAAAAAAAAAAA&#10;AAAAAC4CAABkcnMvZTJvRG9jLnhtbFBLAQItABQABgAIAAAAIQBsY5ft2wAAAAYBAAAPAAAAAAAA&#10;AAAAAAAAAJQEAABkcnMvZG93bnJldi54bWxQSwUGAAAAAAQABADzAAAAnAUAAAAA&#10;" strokecolor="#243f60" strokeweight="1.5pt">
                      <v:stroke endarrow="open"/>
                    </v:shape>
                  </w:pict>
                </mc:Fallback>
              </mc:AlternateContent>
            </w:r>
            <w:r w:rsidRPr="002F41ED">
              <w:rPr>
                <w:rFonts w:asciiTheme="majorHAnsi" w:hAnsiTheme="majorHAnsi" w:cs="Arial"/>
                <w:szCs w:val="24"/>
              </w:rPr>
              <w:t xml:space="preserve">      </w:t>
            </w:r>
            <w:r w:rsidRPr="002F41ED">
              <w:rPr>
                <w:rFonts w:asciiTheme="majorHAnsi" w:hAnsiTheme="majorHAnsi" w:cs="Arial"/>
                <w:b/>
                <w:color w:val="44546A" w:themeColor="text2"/>
                <w:szCs w:val="24"/>
              </w:rPr>
              <w:t>Yes</w:t>
            </w:r>
          </w:p>
        </w:tc>
        <w:tc>
          <w:tcPr>
            <w:tcW w:w="1170" w:type="dxa"/>
          </w:tcPr>
          <w:p w:rsidR="002F41ED" w:rsidRPr="002F41ED" w:rsidRDefault="002F41ED" w:rsidP="002F41ED">
            <w:pPr>
              <w:spacing w:line="276" w:lineRule="auto"/>
              <w:contextualSpacing/>
              <w:rPr>
                <w:rFonts w:asciiTheme="majorHAnsi" w:hAnsiTheme="majorHAnsi" w:cs="Arial"/>
                <w:szCs w:val="24"/>
              </w:rPr>
            </w:pPr>
          </w:p>
        </w:tc>
        <w:tc>
          <w:tcPr>
            <w:tcW w:w="1080" w:type="dxa"/>
          </w:tcPr>
          <w:p w:rsidR="002F41ED" w:rsidRPr="002F41ED" w:rsidRDefault="002F41ED" w:rsidP="002F41ED">
            <w:pPr>
              <w:spacing w:line="276" w:lineRule="auto"/>
              <w:contextualSpacing/>
              <w:rPr>
                <w:rFonts w:asciiTheme="majorHAnsi" w:hAnsiTheme="majorHAnsi" w:cs="Arial"/>
                <w:szCs w:val="24"/>
              </w:rPr>
            </w:pPr>
          </w:p>
        </w:tc>
      </w:tr>
      <w:tr w:rsidR="002F41ED" w:rsidRPr="002F41ED" w:rsidTr="000D132C">
        <w:trPr>
          <w:trHeight w:val="249"/>
        </w:trPr>
        <w:tc>
          <w:tcPr>
            <w:tcW w:w="4878" w:type="dxa"/>
            <w:gridSpan w:val="2"/>
            <w:shd w:val="clear" w:color="auto" w:fill="D9D9D9" w:themeFill="background1" w:themeFillShade="D9"/>
          </w:tcPr>
          <w:p w:rsidR="002F41ED" w:rsidRPr="002F41ED" w:rsidRDefault="002F41ED" w:rsidP="002F41ED">
            <w:pPr>
              <w:spacing w:line="276" w:lineRule="auto"/>
              <w:contextualSpacing/>
              <w:rPr>
                <w:rFonts w:asciiTheme="majorHAnsi" w:hAnsiTheme="majorHAnsi" w:cs="Arial"/>
                <w:szCs w:val="24"/>
              </w:rPr>
            </w:pPr>
            <w:r w:rsidRPr="002F41ED">
              <w:rPr>
                <w:rFonts w:asciiTheme="majorHAnsi" w:hAnsiTheme="majorHAnsi" w:cs="Arial"/>
                <w:szCs w:val="24"/>
              </w:rPr>
              <w:t xml:space="preserve">Is it separately identifiable to an individual patient? </w:t>
            </w:r>
          </w:p>
        </w:tc>
        <w:tc>
          <w:tcPr>
            <w:tcW w:w="1170" w:type="dxa"/>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250190</wp:posOffset>
                      </wp:positionH>
                      <wp:positionV relativeFrom="paragraph">
                        <wp:posOffset>95885</wp:posOffset>
                      </wp:positionV>
                      <wp:extent cx="286385" cy="0"/>
                      <wp:effectExtent l="12065" t="76835" r="25400" b="850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19050">
                                <a:solidFill>
                                  <a:srgbClr val="4E612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9B5927" id="Straight Arrow Connector 8" o:spid="_x0000_s1026" type="#_x0000_t32" style="position:absolute;margin-left:19.7pt;margin-top:7.55pt;width:2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O1OgIAAGkEAAAOAAAAZHJzL2Uyb0RvYy54bWysVMtu2zAQvBfoPxC8O5IcxXWEyEEg2b2k&#10;jYGkH0CTlEWU4hIkY9ko+u9d0o827aUoeqGXInd2dnbou/v9oMlOOq/A1LS4yimRhoNQZlvTLy+r&#10;yZwSH5gRTIORNT1IT+8X79/djbaSU+hBC+kIghhfjbamfQi2yjLPezkwfwVWGjzswA0s4NZtM+HY&#10;iOiDzqZ5PstGcMI64NJ7/NoeD+ki4Xed5OGp67wMRNcUuYW0urRu4pot7li1dcz2ip9osH9gMTBl&#10;sOgFqmWBkVen/oAaFHfgoQtXHIYMuk5xmXrAbor8t26ee2Zl6gXF8fYik/9/sPzzbu2IEjXFQRk2&#10;4Iieg2Nq2wfy4ByMpAFjUEZwZB7VGq2vMKkxaxf75XvzbB+Bf/XEQNMzs5WJ9cvBIlQRM7I3KXHj&#10;LdbcjJ9A4B32GiBJt+/cECFRFLJPEzpcJiT3gXD8OJ3Pruc3lPDzUcaqc551PnyUMJAY1NSf2rjw&#10;L1IVtnv0IbJi1TkhFjWwUlonN2hDRqR+m9/kKcODViKexnvebTeNdmTH0FDlclZMkyqI9uaag1cj&#10;ElovmVie4sCUxpiEJA6L8tJYa5CCEi3xAcXoSE6bWA77Rrqn6Giob7f57XK+nJeTcjpbTsq8bScP&#10;q6aczFbFh5v2um2atvgemRdl1SshpInkz+Yuyr8zz+mZHW15sfdFpuwtetITyZ5/E+k0+Djro2s2&#10;IA5rF7uLHkA/p8untxcfzK/7dOvnP8TiBwAAAP//AwBQSwMEFAAGAAgAAAAhAF0okefWAAAABwEA&#10;AA8AAABkcnMvZG93bnJldi54bWxMjt1Og0AQhe9NfIfNmHhnd9GWVGRpDFHvbfsAUxiByM4iuwX6&#10;9o7xQi/PT8758t3iejXRGDrPFpKVAUVc+brjxsLx8Hq3BRUico29Z7JwoQC74voqx6z2M7/TtI+N&#10;khEOGVpoYxwyrUPVksOw8gOxZB9+dBhFjo2uR5xl3PX63phUO+xYHlocqGyp+tyfnYV0XswLemqS&#10;r4kPJb5dZpOW1t7eLM9PoCIt8a8MP/iCDoUwnfyZ66B6Cw+Pa2mKv0lASb5db0CdfrUucv2fv/gG&#10;AAD//wMAUEsBAi0AFAAGAAgAAAAhALaDOJL+AAAA4QEAABMAAAAAAAAAAAAAAAAAAAAAAFtDb250&#10;ZW50X1R5cGVzXS54bWxQSwECLQAUAAYACAAAACEAOP0h/9YAAACUAQAACwAAAAAAAAAAAAAAAAAv&#10;AQAAX3JlbHMvLnJlbHNQSwECLQAUAAYACAAAACEAMM8jtToCAABpBAAADgAAAAAAAAAAAAAAAAAu&#10;AgAAZHJzL2Uyb0RvYy54bWxQSwECLQAUAAYACAAAACEAXSiR59YAAAAHAQAADwAAAAAAAAAAAAAA&#10;AACUBAAAZHJzL2Rvd25yZXYueG1sUEsFBgAAAAAEAAQA8wAAAJcFAAAAAA==&#10;" strokecolor="#4e6128" strokeweight="1.5pt">
                      <v:stroke endarrow="open"/>
                    </v:shape>
                  </w:pict>
                </mc:Fallback>
              </mc:AlternateContent>
            </w:r>
            <w:r w:rsidRPr="002F41ED">
              <w:rPr>
                <w:rFonts w:asciiTheme="majorHAnsi" w:hAnsiTheme="majorHAnsi" w:cs="Arial"/>
                <w:b/>
                <w:color w:val="525252" w:themeColor="accent3" w:themeShade="80"/>
                <w:szCs w:val="24"/>
              </w:rPr>
              <w:t>No</w:t>
            </w:r>
          </w:p>
        </w:tc>
        <w:tc>
          <w:tcPr>
            <w:tcW w:w="1080" w:type="dxa"/>
            <w:shd w:val="clear" w:color="auto" w:fill="EDEDED" w:themeFill="accent3" w:themeFillTint="33"/>
          </w:tcPr>
          <w:p w:rsidR="002F41ED" w:rsidRPr="002F41ED" w:rsidRDefault="002F41ED" w:rsidP="002F41ED">
            <w:pPr>
              <w:spacing w:line="276" w:lineRule="auto"/>
              <w:contextualSpacing/>
              <w:rPr>
                <w:rFonts w:asciiTheme="majorHAnsi" w:hAnsiTheme="majorHAnsi" w:cs="Arial"/>
                <w:b/>
                <w:szCs w:val="24"/>
              </w:rPr>
            </w:pPr>
            <w:r w:rsidRPr="002F41ED">
              <w:rPr>
                <w:rFonts w:asciiTheme="majorHAnsi" w:hAnsiTheme="majorHAnsi" w:cs="Arial"/>
                <w:b/>
                <w:color w:val="525252" w:themeColor="accent3" w:themeShade="80"/>
                <w:szCs w:val="24"/>
              </w:rPr>
              <w:t>Routine</w:t>
            </w:r>
          </w:p>
        </w:tc>
      </w:tr>
      <w:tr w:rsidR="002F41ED" w:rsidRPr="002F41ED" w:rsidTr="000D132C">
        <w:trPr>
          <w:trHeight w:val="500"/>
        </w:trPr>
        <w:tc>
          <w:tcPr>
            <w:tcW w:w="4878" w:type="dxa"/>
            <w:gridSpan w:val="2"/>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52070</wp:posOffset>
                      </wp:positionV>
                      <wp:extent cx="0" cy="254635"/>
                      <wp:effectExtent l="83185" t="13970" r="78740" b="266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19050">
                                <a:solidFill>
                                  <a:srgbClr val="243F6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F90ED" id="Straight Arrow Connector 7" o:spid="_x0000_s1026" type="#_x0000_t32" style="position:absolute;margin-left:8.8pt;margin-top:4.1pt;width:0;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WwOgIAAGkEAAAOAAAAZHJzL2Uyb0RvYy54bWysVE1v2zAMvQ/YfxB0T22nTpoadYrCTnbp&#10;tgLtfoAiybEwWRQkNU4w7L+PUj62bpdh2EWmJPLxkXzy3f1+0GQnnVdgalpc5ZRIw0Eos63pl5f1&#10;ZEGJD8wIpsHImh6kp/fL9+/uRlvJKfSghXQEQYyvRlvTPgRbZZnnvRyYvwIrDV524AYWcOu2mXBs&#10;RPRBZ9M8n2cjOGEdcOk9nrbHS7pM+F0nefjcdV4GomuK3EJaXVo3cc2Wd6zaOmZ7xU802D+wGJgy&#10;mPQC1bLAyKtTf0ANijvw0IUrDkMGXae4TDVgNUX+WzXPPbMy1YLN8fbSJv//YPmn3ZMjStT0hhLD&#10;BhzRc3BMbftAHpyDkTRgDLYRHLmJ3RqtrzCoMU8u1sv35tk+Av/qiYGmZ2YrE+uXg0WoIkZkb0Li&#10;xlvMuRk/gkAf9hogtW7fuSFCYlPIPk3ocJmQ3AfCj4ccT6ezcn49S+CsOsdZ58MHCQOJRk39qYwL&#10;/yJlYbtHHyIrVp0DYlIDa6V1UoM2ZETqt/ksTxEetBLxNvp5t9002pEdQ0FNy+v1PGkI0d64OXg1&#10;IqH1konVyQ5MabRJSM1hsb005hqkoERLfEDROpLTJqbDupHuyToK6tttfrtarBblpJzOV5Myb9vJ&#10;w7opJ/N1cTNrr9umaYvvkXlRVr0SQppI/izuovw78Zye2VGWF3lf2pS9RU/9RLLnbyKdBh9nfVTN&#10;BsThycXqogZQz8n59Pbig/l1n7x+/iGWPwAAAP//AwBQSwMEFAAGAAgAAAAhAGxjl+3bAAAABgEA&#10;AA8AAABkcnMvZG93bnJldi54bWxMjk1PwzAQRO9I/AdrkbhRh1LaKMSpEAgQnNqmCI7bePMB8TqK&#10;3Sb8e5wTHJ9mNPPS9WhacaLeNZYVXM8iEMSF1Q1XCvb501UMwnlkja1lUvBDDtbZ+VmKibYDb+m0&#10;85UII+wSVFB73yVSuqImg25mO+KQlbY36AP2ldQ9DmHctHIeRUtpsOHwUGNHDzUV37ujUfBYbra3&#10;w+vHc7N48y9f3Xtefm5ypS4vxvs7EJ5G/1eGST+oQxacDvbI2ok28GoZmgriOYgpnvCgYBHfgMxS&#10;+V8/+wUAAP//AwBQSwECLQAUAAYACAAAACEAtoM4kv4AAADhAQAAEwAAAAAAAAAAAAAAAAAAAAAA&#10;W0NvbnRlbnRfVHlwZXNdLnhtbFBLAQItABQABgAIAAAAIQA4/SH/1gAAAJQBAAALAAAAAAAAAAAA&#10;AAAAAC8BAABfcmVscy8ucmVsc1BLAQItABQABgAIAAAAIQBdQSWwOgIAAGkEAAAOAAAAAAAAAAAA&#10;AAAAAC4CAABkcnMvZTJvRG9jLnhtbFBLAQItABQABgAIAAAAIQBsY5ft2wAAAAYBAAAPAAAAAAAA&#10;AAAAAAAAAJQEAABkcnMvZG93bnJldi54bWxQSwUGAAAAAAQABADzAAAAnAUAAAAA&#10;" strokecolor="#243f60" strokeweight="1.5pt">
                      <v:stroke endarrow="open"/>
                    </v:shape>
                  </w:pict>
                </mc:Fallback>
              </mc:AlternateContent>
            </w:r>
            <w:r w:rsidRPr="002F41ED">
              <w:rPr>
                <w:rFonts w:asciiTheme="majorHAnsi" w:hAnsiTheme="majorHAnsi" w:cs="Arial"/>
                <w:szCs w:val="24"/>
              </w:rPr>
              <w:t xml:space="preserve">      </w:t>
            </w:r>
            <w:r w:rsidRPr="002F41ED">
              <w:rPr>
                <w:rFonts w:asciiTheme="majorHAnsi" w:hAnsiTheme="majorHAnsi" w:cs="Arial"/>
                <w:b/>
                <w:color w:val="44546A" w:themeColor="text2"/>
                <w:szCs w:val="24"/>
              </w:rPr>
              <w:t>Yes</w:t>
            </w:r>
          </w:p>
        </w:tc>
        <w:tc>
          <w:tcPr>
            <w:tcW w:w="1170" w:type="dxa"/>
          </w:tcPr>
          <w:p w:rsidR="002F41ED" w:rsidRPr="002F41ED" w:rsidRDefault="002F41ED" w:rsidP="002F41ED">
            <w:pPr>
              <w:spacing w:line="276" w:lineRule="auto"/>
              <w:contextualSpacing/>
              <w:rPr>
                <w:rFonts w:asciiTheme="majorHAnsi" w:hAnsiTheme="majorHAnsi" w:cs="Arial"/>
                <w:szCs w:val="24"/>
              </w:rPr>
            </w:pPr>
          </w:p>
        </w:tc>
        <w:tc>
          <w:tcPr>
            <w:tcW w:w="1080" w:type="dxa"/>
          </w:tcPr>
          <w:p w:rsidR="002F41ED" w:rsidRPr="002F41ED" w:rsidRDefault="002F41ED" w:rsidP="002F41ED">
            <w:pPr>
              <w:spacing w:line="276" w:lineRule="auto"/>
              <w:contextualSpacing/>
              <w:rPr>
                <w:rFonts w:asciiTheme="majorHAnsi" w:hAnsiTheme="majorHAnsi" w:cs="Arial"/>
                <w:szCs w:val="24"/>
              </w:rPr>
            </w:pPr>
          </w:p>
        </w:tc>
      </w:tr>
      <w:tr w:rsidR="002F41ED" w:rsidRPr="002F41ED" w:rsidTr="000D132C">
        <w:trPr>
          <w:trHeight w:val="249"/>
        </w:trPr>
        <w:tc>
          <w:tcPr>
            <w:tcW w:w="4878" w:type="dxa"/>
            <w:gridSpan w:val="2"/>
            <w:shd w:val="clear" w:color="auto" w:fill="D9D9D9" w:themeFill="background1" w:themeFillShade="D9"/>
          </w:tcPr>
          <w:p w:rsidR="002F41ED" w:rsidRPr="002F41ED" w:rsidRDefault="002F41ED" w:rsidP="002F41ED">
            <w:pPr>
              <w:spacing w:line="276" w:lineRule="auto"/>
              <w:contextualSpacing/>
              <w:rPr>
                <w:rFonts w:asciiTheme="majorHAnsi" w:hAnsiTheme="majorHAnsi" w:cs="Arial"/>
                <w:szCs w:val="24"/>
              </w:rPr>
            </w:pPr>
            <w:r w:rsidRPr="002F41ED">
              <w:rPr>
                <w:rFonts w:asciiTheme="majorHAnsi" w:hAnsiTheme="majorHAnsi" w:cs="Arial"/>
                <w:szCs w:val="24"/>
              </w:rPr>
              <w:t xml:space="preserve">Is it disposable and used only on one patient and then thrown away? OR does it meet the definition of Durable Medical Equipment? </w:t>
            </w:r>
          </w:p>
        </w:tc>
        <w:tc>
          <w:tcPr>
            <w:tcW w:w="1170" w:type="dxa"/>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306070</wp:posOffset>
                      </wp:positionH>
                      <wp:positionV relativeFrom="paragraph">
                        <wp:posOffset>97790</wp:posOffset>
                      </wp:positionV>
                      <wp:extent cx="229870" cy="0"/>
                      <wp:effectExtent l="10795" t="78740" r="26035" b="831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straightConnector1">
                                <a:avLst/>
                              </a:prstGeom>
                              <a:noFill/>
                              <a:ln w="19050">
                                <a:solidFill>
                                  <a:srgbClr val="4E612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70A398" id="Straight Arrow Connector 6" o:spid="_x0000_s1026" type="#_x0000_t32" style="position:absolute;margin-left:24.1pt;margin-top:7.7pt;width:18.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3rOgIAAGkEAAAOAAAAZHJzL2Uyb0RvYy54bWysVE1v2zAMvQ/YfxB0T21nbpoYdYrCTnbp&#10;tgLtfoAiybEwWRQkNU4w7L+PUj7Wbpdh2EWhTPLxkXzK7d1+0GQnnVdgalpc5ZRIw0Eos63p1+f1&#10;ZE6JD8wIpsHImh6kp3fL9+9uR1vJKfSghXQEQYyvRlvTPgRbZZnnvRyYvwIrDTo7cAMLeHXbTDg2&#10;Ivqgs2mez7IRnLAOuPQev7ZHJ10m/K6TPHzpOi8D0TVFbiGdLp2beGbLW1ZtHbO94ica7B9YDEwZ&#10;LHqBallg5MWpP6AGxR146MIVhyGDrlNcph6wmyL/rZunnlmZesHheHsZk/9/sPzz7tERJWo6o8Sw&#10;AVf0FBxT2z6Qe+dgJA0Yg2MER2ZxWqP1FSY15tHFfvnePNkH4N88MdD0zGxlYv18sAhVxIzsTUq8&#10;eIs1N+MnEBjDXgKk0e07N0RIHArZpw0dLhuS+0A4fpxOF/Mb3CM/uzJWnfOs8+GjhIFEo6b+1MaF&#10;f5GqsN2DD5EVq84JsaiBtdI6qUEbMiL1RX6dpwwPWonojXHebTeNdmTHUFDlalZM56lH9LwOc/Bi&#10;RELrJROrkx2Y0miTkIbD4nhprDVIQYmW+ICidSSnTSyHfSPdk3UU1PdFvljNV/NyUk5nq0mZt+3k&#10;ft2Uk9m6uLluP7RN0xY/IvOirHolhDSR/FncRfl34jk9s6MsL/K+jCl7i57miWTPv4l0Wnzc9VE1&#10;GxCHRxe7ixpAPafg09uLD+b1PUX9+odY/gQAAP//AwBQSwMEFAAGAAgAAAAhAJMnok/WAAAABwEA&#10;AA8AAABkcnMvZG93bnJldi54bWxMjkFPg0AQhe8m/ofNmHizSxskBFkaQ9S7rT9gyk6ByM4iuwX6&#10;7x3jQU+TN+/lva/cr25QM02h92xgu0lAETfe9twa+Di+PuSgQkS2OHgmA1cKsK9ub0osrF/4neZD&#10;bJWUcCjQQBfjWGgdmo4cho0ficU7+8lhFDm12k64SLkb9C5JMu2wZ1nocKS6o+bzcHEGsmVNXtBT&#10;u/2a+Vjj23VJstqY+7v1+QlUpDX+heEHX9ChEqaTv7ANajCQ5jtJyv8xBSV+nso9/Wpdlfo/f/UN&#10;AAD//wMAUEsBAi0AFAAGAAgAAAAhALaDOJL+AAAA4QEAABMAAAAAAAAAAAAAAAAAAAAAAFtDb250&#10;ZW50X1R5cGVzXS54bWxQSwECLQAUAAYACAAAACEAOP0h/9YAAACUAQAACwAAAAAAAAAAAAAAAAAv&#10;AQAAX3JlbHMvLnJlbHNQSwECLQAUAAYACAAAACEAhrn96zoCAABpBAAADgAAAAAAAAAAAAAAAAAu&#10;AgAAZHJzL2Uyb0RvYy54bWxQSwECLQAUAAYACAAAACEAkyeiT9YAAAAHAQAADwAAAAAAAAAAAAAA&#10;AACUBAAAZHJzL2Rvd25yZXYueG1sUEsFBgAAAAAEAAQA8wAAAJcFAAAAAA==&#10;" strokecolor="#4e6128" strokeweight="1.5pt">
                      <v:stroke endarrow="open"/>
                    </v:shape>
                  </w:pict>
                </mc:Fallback>
              </mc:AlternateContent>
            </w:r>
            <w:r w:rsidRPr="002F41ED">
              <w:rPr>
                <w:rFonts w:asciiTheme="majorHAnsi" w:hAnsiTheme="majorHAnsi" w:cs="Arial"/>
                <w:b/>
                <w:color w:val="525252" w:themeColor="accent3" w:themeShade="80"/>
                <w:szCs w:val="24"/>
              </w:rPr>
              <w:t>No</w:t>
            </w:r>
          </w:p>
        </w:tc>
        <w:tc>
          <w:tcPr>
            <w:tcW w:w="1080" w:type="dxa"/>
            <w:shd w:val="clear" w:color="auto" w:fill="EDEDED" w:themeFill="accent3" w:themeFillTint="33"/>
          </w:tcPr>
          <w:p w:rsidR="002F41ED" w:rsidRPr="002F41ED" w:rsidRDefault="002F41ED" w:rsidP="002F41ED">
            <w:pPr>
              <w:spacing w:line="276" w:lineRule="auto"/>
              <w:contextualSpacing/>
              <w:rPr>
                <w:rFonts w:asciiTheme="majorHAnsi" w:hAnsiTheme="majorHAnsi" w:cs="Arial"/>
                <w:b/>
                <w:szCs w:val="24"/>
              </w:rPr>
            </w:pPr>
            <w:r w:rsidRPr="002F41ED">
              <w:rPr>
                <w:rFonts w:asciiTheme="majorHAnsi" w:hAnsiTheme="majorHAnsi" w:cs="Arial"/>
                <w:b/>
                <w:color w:val="525252" w:themeColor="accent3" w:themeShade="80"/>
                <w:szCs w:val="24"/>
              </w:rPr>
              <w:t>Routine</w:t>
            </w:r>
          </w:p>
        </w:tc>
      </w:tr>
      <w:tr w:rsidR="002F41ED" w:rsidRPr="002F41ED" w:rsidTr="000D132C">
        <w:trPr>
          <w:trHeight w:val="527"/>
        </w:trPr>
        <w:tc>
          <w:tcPr>
            <w:tcW w:w="4878" w:type="dxa"/>
            <w:gridSpan w:val="2"/>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111760</wp:posOffset>
                      </wp:positionH>
                      <wp:positionV relativeFrom="paragraph">
                        <wp:posOffset>52070</wp:posOffset>
                      </wp:positionV>
                      <wp:extent cx="0" cy="254635"/>
                      <wp:effectExtent l="83185" t="13970" r="78740" b="266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19050">
                                <a:solidFill>
                                  <a:srgbClr val="243F6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8D4A8" id="Straight Arrow Connector 5" o:spid="_x0000_s1026" type="#_x0000_t32" style="position:absolute;margin-left:8.8pt;margin-top:4.1pt;width:0;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L+OgIAAGkEAAAOAAAAZHJzL2Uyb0RvYy54bWysVE1v2zAMvQ/YfxB0T22nTpYadYrCTnbp&#10;1gLtfoAiybEwWRQkNU4w7L+PUj62bpdh2EWmJPLxkXzy7d1+0GQnnVdgalpc5ZRIw0Eos63pl5f1&#10;ZEGJD8wIpsHImh6kp3fL9+9uR1vJKfSghXQEQYyvRlvTPgRbZZnnvRyYvwIrDV524AYWcOu2mXBs&#10;RPRBZ9M8n2cjOGEdcOk9nrbHS7pM+F0neXjsOi8D0TVFbiGtLq2buGbLW1ZtHbO94ica7B9YDEwZ&#10;THqBallg5NWpP6AGxR146MIVhyGDrlNcphqwmiL/rZrnnlmZasHmeHtpk/9/sPzz7skRJWo6o8Sw&#10;AUf0HBxT2z6Qe+dgJA0Yg20ER2axW6P1FQY15snFevnePNsH4F89MdD0zGxlYv1ysAhVxIjsTUjc&#10;eIs5N+MnEOjDXgOk1u07N0RIbArZpwkdLhOS+0D48ZDj6XRWzq8TnYxV5zjrfPgoYSDRqKk/lXHh&#10;X6QsbPfgQ2TFqnNATGpgrbROatCGjEj9Jp/lKcKDViLeRj/vtptGO7JjKKhpeb2eJw0h2hs3B69G&#10;JLReMrE62YEpjTYJqTkstpfGXIMUlGiJDyhaR3LaxHRYN9I9WUdBfbvJb1aL1aKclNP5alLmbTu5&#10;XzflZL4uPsza67Zp2uJ7ZF6UVa+EkCaSP4u7KP9OPKdndpTlRd6XNmVv0VM/kez5m0inwcdZH1Wz&#10;AXF4crG6qAHUc3I+vb34YH7dJ6+ff4jlDwAAAP//AwBQSwMEFAAGAAgAAAAhAGxjl+3bAAAABgEA&#10;AA8AAABkcnMvZG93bnJldi54bWxMjk1PwzAQRO9I/AdrkbhRh1LaKMSpEAgQnNqmCI7bePMB8TqK&#10;3Sb8e5wTHJ9mNPPS9WhacaLeNZYVXM8iEMSF1Q1XCvb501UMwnlkja1lUvBDDtbZ+VmKibYDb+m0&#10;85UII+wSVFB73yVSuqImg25mO+KQlbY36AP2ldQ9DmHctHIeRUtpsOHwUGNHDzUV37ujUfBYbra3&#10;w+vHc7N48y9f3Xtefm5ypS4vxvs7EJ5G/1eGST+oQxacDvbI2ok28GoZmgriOYgpnvCgYBHfgMxS&#10;+V8/+wUAAP//AwBQSwECLQAUAAYACAAAACEAtoM4kv4AAADhAQAAEwAAAAAAAAAAAAAAAAAAAAAA&#10;W0NvbnRlbnRfVHlwZXNdLnhtbFBLAQItABQABgAIAAAAIQA4/SH/1gAAAJQBAAALAAAAAAAAAAAA&#10;AAAAAC8BAABfcmVscy8ucmVsc1BLAQItABQABgAIAAAAIQAKj1L+OgIAAGkEAAAOAAAAAAAAAAAA&#10;AAAAAC4CAABkcnMvZTJvRG9jLnhtbFBLAQItABQABgAIAAAAIQBsY5ft2wAAAAYBAAAPAAAAAAAA&#10;AAAAAAAAAJQEAABkcnMvZG93bnJldi54bWxQSwUGAAAAAAQABADzAAAAnAUAAAAA&#10;" strokecolor="#243f60" strokeweight="1.5pt">
                      <v:stroke endarrow="open"/>
                    </v:shape>
                  </w:pict>
                </mc:Fallback>
              </mc:AlternateContent>
            </w:r>
            <w:r w:rsidRPr="002F41ED">
              <w:rPr>
                <w:rFonts w:asciiTheme="majorHAnsi" w:hAnsiTheme="majorHAnsi" w:cs="Arial"/>
                <w:szCs w:val="24"/>
              </w:rPr>
              <w:t xml:space="preserve">      </w:t>
            </w:r>
            <w:r w:rsidRPr="002F41ED">
              <w:rPr>
                <w:rFonts w:asciiTheme="majorHAnsi" w:hAnsiTheme="majorHAnsi" w:cs="Arial"/>
                <w:b/>
                <w:color w:val="44546A" w:themeColor="text2"/>
                <w:szCs w:val="24"/>
              </w:rPr>
              <w:t>Yes</w:t>
            </w:r>
          </w:p>
        </w:tc>
        <w:tc>
          <w:tcPr>
            <w:tcW w:w="1170" w:type="dxa"/>
          </w:tcPr>
          <w:p w:rsidR="002F41ED" w:rsidRPr="002F41ED" w:rsidRDefault="002F41ED" w:rsidP="002F41ED">
            <w:pPr>
              <w:spacing w:line="276" w:lineRule="auto"/>
              <w:contextualSpacing/>
              <w:rPr>
                <w:rFonts w:asciiTheme="majorHAnsi" w:hAnsiTheme="majorHAnsi" w:cs="Arial"/>
                <w:szCs w:val="24"/>
              </w:rPr>
            </w:pPr>
          </w:p>
        </w:tc>
        <w:tc>
          <w:tcPr>
            <w:tcW w:w="1080" w:type="dxa"/>
          </w:tcPr>
          <w:p w:rsidR="002F41ED" w:rsidRPr="002F41ED" w:rsidRDefault="002F41ED" w:rsidP="002F41ED">
            <w:pPr>
              <w:spacing w:line="276" w:lineRule="auto"/>
              <w:contextualSpacing/>
              <w:rPr>
                <w:rFonts w:asciiTheme="majorHAnsi" w:hAnsiTheme="majorHAnsi" w:cs="Arial"/>
                <w:szCs w:val="24"/>
              </w:rPr>
            </w:pPr>
          </w:p>
        </w:tc>
      </w:tr>
      <w:tr w:rsidR="002F41ED" w:rsidRPr="002F41ED" w:rsidTr="000D132C">
        <w:trPr>
          <w:trHeight w:val="537"/>
        </w:trPr>
        <w:tc>
          <w:tcPr>
            <w:tcW w:w="4878" w:type="dxa"/>
            <w:gridSpan w:val="2"/>
            <w:shd w:val="clear" w:color="auto" w:fill="D9D9D9" w:themeFill="background1" w:themeFillShade="D9"/>
          </w:tcPr>
          <w:p w:rsidR="002F41ED" w:rsidRPr="002F41ED" w:rsidRDefault="002F41ED" w:rsidP="002F41ED">
            <w:pPr>
              <w:spacing w:line="276" w:lineRule="auto"/>
              <w:contextualSpacing/>
              <w:rPr>
                <w:rFonts w:asciiTheme="majorHAnsi" w:hAnsiTheme="majorHAnsi" w:cs="Arial"/>
                <w:szCs w:val="24"/>
              </w:rPr>
            </w:pPr>
            <w:r w:rsidRPr="002F41ED">
              <w:rPr>
                <w:rFonts w:asciiTheme="majorHAnsi" w:hAnsiTheme="majorHAnsi" w:cs="Arial"/>
                <w:szCs w:val="24"/>
              </w:rPr>
              <w:t xml:space="preserve">Is this a bulk supply item that is open for use to the general patient population? </w:t>
            </w:r>
          </w:p>
        </w:tc>
        <w:tc>
          <w:tcPr>
            <w:tcW w:w="1170" w:type="dxa"/>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306070</wp:posOffset>
                      </wp:positionH>
                      <wp:positionV relativeFrom="paragraph">
                        <wp:posOffset>100965</wp:posOffset>
                      </wp:positionV>
                      <wp:extent cx="229870" cy="0"/>
                      <wp:effectExtent l="10795" t="81915" r="26035" b="800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straightConnector1">
                                <a:avLst/>
                              </a:prstGeom>
                              <a:noFill/>
                              <a:ln w="19050">
                                <a:solidFill>
                                  <a:srgbClr val="4E612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2FD9D8" id="Straight Arrow Connector 4" o:spid="_x0000_s1026" type="#_x0000_t32" style="position:absolute;margin-left:24.1pt;margin-top:7.95pt;width:1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qlOgIAAGkEAAAOAAAAZHJzL2Uyb0RvYy54bWysVE1v2zAMvQ/YfxB0T21nbpoYdYrCTnbp&#10;tgLtfoAiybEwWRQkNU4w7L+PUj7Wbpdh2EWhTPLxkXzK7d1+0GQnnVdgalpc5ZRIw0Eos63p1+f1&#10;ZE6JD8wIpsHImh6kp3fL9+9uR1vJKfSghXQEQYyvRlvTPgRbZZnnvRyYvwIrDTo7cAMLeHXbTDg2&#10;Ivqgs2mez7IRnLAOuPQev7ZHJ10m/K6TPHzpOi8D0TVFbiGdLp2beGbLW1ZtHbO94ica7B9YDEwZ&#10;LHqBallg5MWpP6AGxR146MIVhyGDrlNcph6wmyL/rZunnlmZesHheHsZk/9/sPzz7tERJWpaUmLY&#10;gCt6Co6pbR/IvXMwkgaMwTGCI2Wc1mh9hUmNeXSxX743T/YB+DdPDDQ9M1uZWD8fLEIVMSN7kxIv&#10;3mLNzfgJBMawlwBpdPvODRESh0L2aUOHy4bkPhCOH6fTxfwG98jProxV5zzrfPgoYSDRqKk/tXHh&#10;X6QqbPfgQ2TFqnNCLGpgrbROatCGjEh9kV/nKcODViJ6Y5x3202jHdkxFFS5mhXTeeoRPa/DHLwY&#10;kdB6ycTqZAemNNokpOGwOF4aaw1SUKIlPqBoHclpE8th30j3ZB0F9X2RL1bz1byclNPZalLmbTu5&#10;XzflZLYubq7bD23TtMWPyLwoq14JIU0kfxZ3Uf6deE7P7CjLi7wvY8reoqd5ItnzbyKdFh93fVTN&#10;BsTh0cXuogZQzyn49Pbig3l9T1G//iGWPwEAAP//AwBQSwMEFAAGAAgAAAAhAMNSyPXWAAAABwEA&#10;AA8AAABkcnMvZG93bnJldi54bWxMjt1Og0AQhe9NfIfNmHhnd9sgQWRpDFHvbX2AKYxAZGeR3QJ9&#10;e8d4oZfnJ+d8xX51g5ppCr1nC9uNAUVc+6bn1sL78eUuAxUicoODZ7JwoQD78vqqwLzxC7/RfIit&#10;khEOOVroYhxzrUPdkcOw8SOxZB9+chhFTq1uJlxk3A16Z0yqHfYsDx2OVHVUfx7OzkK6rOYZPbXb&#10;r5mPFb5eFpNW1t7erE+PoCKt8a8MP/iCDqUwnfyZm6AGC0m2k6b49w+gJM+SBNTpV+uy0P/5y28A&#10;AAD//wMAUEsBAi0AFAAGAAgAAAAhALaDOJL+AAAA4QEAABMAAAAAAAAAAAAAAAAAAAAAAFtDb250&#10;ZW50X1R5cGVzXS54bWxQSwECLQAUAAYACAAAACEAOP0h/9YAAACUAQAACwAAAAAAAAAAAAAAAAAv&#10;AQAAX3JlbHMvLnJlbHNQSwECLQAUAAYACAAAACEA0XeKpToCAABpBAAADgAAAAAAAAAAAAAAAAAu&#10;AgAAZHJzL2Uyb0RvYy54bWxQSwECLQAUAAYACAAAACEAw1LI9dYAAAAHAQAADwAAAAAAAAAAAAAA&#10;AACUBAAAZHJzL2Rvd25yZXYueG1sUEsFBgAAAAAEAAQA8wAAAJcFAAAAAA==&#10;" strokecolor="#4e6128" strokeweight="1.5pt">
                      <v:stroke endarrow="open"/>
                    </v:shape>
                  </w:pict>
                </mc:Fallback>
              </mc:AlternateContent>
            </w:r>
            <w:r w:rsidRPr="002F41ED">
              <w:rPr>
                <w:rFonts w:asciiTheme="majorHAnsi" w:hAnsiTheme="majorHAnsi" w:cs="Arial"/>
                <w:b/>
                <w:color w:val="525252" w:themeColor="accent3" w:themeShade="80"/>
                <w:szCs w:val="24"/>
              </w:rPr>
              <w:t>Yes</w:t>
            </w:r>
          </w:p>
        </w:tc>
        <w:tc>
          <w:tcPr>
            <w:tcW w:w="1080" w:type="dxa"/>
            <w:shd w:val="clear" w:color="auto" w:fill="EDEDED" w:themeFill="accent3" w:themeFillTint="33"/>
          </w:tcPr>
          <w:p w:rsidR="002F41ED" w:rsidRPr="002F41ED" w:rsidRDefault="002F41ED" w:rsidP="002F41ED">
            <w:pPr>
              <w:spacing w:line="276" w:lineRule="auto"/>
              <w:contextualSpacing/>
              <w:rPr>
                <w:rFonts w:asciiTheme="majorHAnsi" w:hAnsiTheme="majorHAnsi" w:cs="Arial"/>
                <w:b/>
                <w:szCs w:val="24"/>
              </w:rPr>
            </w:pPr>
            <w:r w:rsidRPr="002F41ED">
              <w:rPr>
                <w:rFonts w:asciiTheme="majorHAnsi" w:hAnsiTheme="majorHAnsi" w:cs="Arial"/>
                <w:b/>
                <w:color w:val="525252" w:themeColor="accent3" w:themeShade="80"/>
                <w:szCs w:val="24"/>
              </w:rPr>
              <w:t>Routine</w:t>
            </w:r>
          </w:p>
        </w:tc>
      </w:tr>
      <w:tr w:rsidR="002F41ED" w:rsidRPr="002F41ED" w:rsidTr="000D132C">
        <w:trPr>
          <w:trHeight w:val="527"/>
        </w:trPr>
        <w:tc>
          <w:tcPr>
            <w:tcW w:w="4878" w:type="dxa"/>
            <w:gridSpan w:val="2"/>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52070</wp:posOffset>
                      </wp:positionV>
                      <wp:extent cx="0" cy="254635"/>
                      <wp:effectExtent l="83185" t="13970" r="78740" b="266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19050">
                                <a:solidFill>
                                  <a:srgbClr val="243F6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86FAC" id="Straight Arrow Connector 3" o:spid="_x0000_s1026" type="#_x0000_t32" style="position:absolute;margin-left:8.8pt;margin-top:4.1pt;width:0;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osOgIAAGkEAAAOAAAAZHJzL2Uyb0RvYy54bWysVE1v2zAMvQ/YfxB0T20nTtYadYrCTnbp&#10;1gLtfoAiybEwWRQkNU4w7L+PUj62bpdh2EWmJPLxkXzy7d1+0GQnnVdgalpc5ZRIw0Eos63pl5f1&#10;5JoSH5gRTIORNT1IT++W79/djraSU+hBC+kIghhfjbamfQi2yjLPezkwfwVWGrzswA0s4NZtM+HY&#10;iOiDzqZ5vshGcMI64NJ7PG2Pl3SZ8LtO8vDYdV4GomuK3EJaXVo3cc2Wt6zaOmZ7xU802D+wGJgy&#10;mPQC1bLAyKtTf0ANijvw0IUrDkMGXae4TDVgNUX+WzXPPbMy1YLN8fbSJv//YPnn3ZMjStR0Rolh&#10;A47oOTimtn0g987BSBowBtsIjsxit0brKwxqzJOL9fK9ebYPwL96YqDpmdnKxPrlYBGqiBHZm5C4&#10;8RZzbsZPINCHvQZIrdt3boiQ2BSyTxM6XCYk94Hw4yHH0+m8XMzmCZxV5zjrfPgoYSDRqKk/lXHh&#10;X6QsbPfgQ2TFqnNATGpgrbROatCGjEj9Jp/nKcKDViLeRj/vtptGO7JjKKhpOVsvkoYQ7Y2bg1cj&#10;ElovmVid7MCURpuE1BwW20tjrkEKSrTEBxStIzltYjqsG+merKOgvt3kN6vr1XU5KaeL1aTM23Zy&#10;v27KyWJdfJi3s7Zp2uJ7ZF6UVa+EkCaSP4u7KP9OPKdndpTlRd6XNmVv0VM/kez5m0inwcdZH1Wz&#10;AXF4crG6qAHUc3I+vb34YH7dJ6+ff4jlDwAAAP//AwBQSwMEFAAGAAgAAAAhAGxjl+3bAAAABgEA&#10;AA8AAABkcnMvZG93bnJldi54bWxMjk1PwzAQRO9I/AdrkbhRh1LaKMSpEAgQnNqmCI7bePMB8TqK&#10;3Sb8e5wTHJ9mNPPS9WhacaLeNZYVXM8iEMSF1Q1XCvb501UMwnlkja1lUvBDDtbZ+VmKibYDb+m0&#10;85UII+wSVFB73yVSuqImg25mO+KQlbY36AP2ldQ9DmHctHIeRUtpsOHwUGNHDzUV37ujUfBYbra3&#10;w+vHc7N48y9f3Xtefm5ypS4vxvs7EJ5G/1eGST+oQxacDvbI2ok28GoZmgriOYgpnvCgYBHfgMxS&#10;+V8/+wUAAP//AwBQSwECLQAUAAYACAAAACEAtoM4kv4AAADhAQAAEwAAAAAAAAAAAAAAAAAAAAAA&#10;W0NvbnRlbnRfVHlwZXNdLnhtbFBLAQItABQABgAIAAAAIQA4/SH/1gAAAJQBAAALAAAAAAAAAAAA&#10;AAAAAC8BAABfcmVscy8ucmVsc1BLAQItABQABgAIAAAAIQDz3cosOgIAAGkEAAAOAAAAAAAAAAAA&#10;AAAAAC4CAABkcnMvZTJvRG9jLnhtbFBLAQItABQABgAIAAAAIQBsY5ft2wAAAAYBAAAPAAAAAAAA&#10;AAAAAAAAAJQEAABkcnMvZG93bnJldi54bWxQSwUGAAAAAAQABADzAAAAnAUAAAAA&#10;" strokecolor="#243f60" strokeweight="1.5pt">
                      <v:stroke endarrow="open"/>
                    </v:shape>
                  </w:pict>
                </mc:Fallback>
              </mc:AlternateContent>
            </w:r>
            <w:r w:rsidRPr="002F41ED">
              <w:rPr>
                <w:rFonts w:asciiTheme="majorHAnsi" w:hAnsiTheme="majorHAnsi" w:cs="Arial"/>
                <w:szCs w:val="24"/>
              </w:rPr>
              <w:t xml:space="preserve">      </w:t>
            </w:r>
            <w:r w:rsidRPr="002F41ED">
              <w:rPr>
                <w:rFonts w:asciiTheme="majorHAnsi" w:hAnsiTheme="majorHAnsi" w:cs="Arial"/>
                <w:b/>
                <w:color w:val="44546A" w:themeColor="text2"/>
                <w:szCs w:val="24"/>
              </w:rPr>
              <w:t>No</w:t>
            </w:r>
          </w:p>
        </w:tc>
        <w:tc>
          <w:tcPr>
            <w:tcW w:w="1170" w:type="dxa"/>
          </w:tcPr>
          <w:p w:rsidR="002F41ED" w:rsidRPr="002F41ED" w:rsidRDefault="002F41ED" w:rsidP="002F41ED">
            <w:pPr>
              <w:spacing w:line="276" w:lineRule="auto"/>
              <w:contextualSpacing/>
              <w:rPr>
                <w:rFonts w:asciiTheme="majorHAnsi" w:hAnsiTheme="majorHAnsi" w:cs="Arial"/>
                <w:szCs w:val="24"/>
              </w:rPr>
            </w:pPr>
          </w:p>
        </w:tc>
        <w:tc>
          <w:tcPr>
            <w:tcW w:w="1080" w:type="dxa"/>
          </w:tcPr>
          <w:p w:rsidR="002F41ED" w:rsidRPr="002F41ED" w:rsidRDefault="002F41ED" w:rsidP="002F41ED">
            <w:pPr>
              <w:spacing w:line="276" w:lineRule="auto"/>
              <w:contextualSpacing/>
              <w:rPr>
                <w:rFonts w:asciiTheme="majorHAnsi" w:hAnsiTheme="majorHAnsi" w:cs="Arial"/>
                <w:szCs w:val="24"/>
              </w:rPr>
            </w:pPr>
          </w:p>
        </w:tc>
      </w:tr>
      <w:tr w:rsidR="002F41ED" w:rsidRPr="002F41ED" w:rsidTr="000D132C">
        <w:trPr>
          <w:trHeight w:val="302"/>
        </w:trPr>
        <w:tc>
          <w:tcPr>
            <w:tcW w:w="4878" w:type="dxa"/>
            <w:gridSpan w:val="2"/>
            <w:shd w:val="clear" w:color="auto" w:fill="D9D9D9" w:themeFill="background1" w:themeFillShade="D9"/>
          </w:tcPr>
          <w:p w:rsidR="002F41ED" w:rsidRPr="002F41ED" w:rsidRDefault="002F41ED" w:rsidP="002F41ED">
            <w:pPr>
              <w:spacing w:line="276" w:lineRule="auto"/>
              <w:contextualSpacing/>
              <w:rPr>
                <w:rFonts w:asciiTheme="majorHAnsi" w:hAnsiTheme="majorHAnsi" w:cs="Arial"/>
                <w:szCs w:val="24"/>
              </w:rPr>
            </w:pPr>
            <w:r w:rsidRPr="002F41ED">
              <w:rPr>
                <w:rFonts w:asciiTheme="majorHAnsi" w:hAnsiTheme="majorHAnsi" w:cs="Arial"/>
                <w:szCs w:val="24"/>
              </w:rPr>
              <w:t xml:space="preserve">Is this a food supplement or part of a dietary plan? </w:t>
            </w:r>
          </w:p>
        </w:tc>
        <w:tc>
          <w:tcPr>
            <w:tcW w:w="1170" w:type="dxa"/>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306070</wp:posOffset>
                      </wp:positionH>
                      <wp:positionV relativeFrom="paragraph">
                        <wp:posOffset>100965</wp:posOffset>
                      </wp:positionV>
                      <wp:extent cx="229870" cy="0"/>
                      <wp:effectExtent l="10795" t="81915" r="26035" b="800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straightConnector1">
                                <a:avLst/>
                              </a:prstGeom>
                              <a:noFill/>
                              <a:ln w="19050">
                                <a:solidFill>
                                  <a:srgbClr val="4E612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D2AA0E" id="Straight Arrow Connector 2" o:spid="_x0000_s1026" type="#_x0000_t32" style="position:absolute;margin-left:24.1pt;margin-top:7.95pt;width:1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J3OgIAAGkEAAAOAAAAZHJzL2Uyb0RvYy54bWysVNuO2yAQfa/Uf0C8Z32pN5tYcVYrO+nL&#10;to2U7QcQwDYqBgQkTlT13zuQS3fbl6rqCxk8M2fOzByyeDwOEh24dUKrCmd3KUZcUc2E6ir89WU9&#10;mWHkPFGMSK14hU/c4cfl+3eL0ZQ8172WjFsEIMqVo6lw770pk8TRng/E3WnDFThbbQfi4Wq7hFky&#10;AvogkzxNp8moLTNWU+4cfG3OTryM+G3Lqf/Sto57JCsM3Hw8bTx34UyWC1J2lphe0AsN8g8sBiIU&#10;FL1BNcQTtLfiD6hBUKudbv0d1UOi21ZQHnuAbrL0t262PTE89gLDceY2Jvf/YOnnw8YiwSqcY6TI&#10;ACvaektE13v0ZK0eUa2VgjFqi/IwrdG4EpJqtbGhX3pUW/Os6TeHlK57ojoeWb+cDEBlISN5kxIu&#10;zkDN3fhJM4ghe6/j6I6tHQIkDAUd44ZOtw3xo0cUPub5fPYAe6RXV0LKa56xzn/kekDBqLC7tHHj&#10;n8Uq5PDsfGBFymtCKKr0WkgZ1SAVGoH6PL1PY4bTUrDgDXHOdrtaWnQgIKhiNc3yWewRPK/DrN4r&#10;FtF6TtjqYnsiJNjIx+GQMF4cag2cYSQ5PKBgnclJFcpB30D3Yp0F9X2ezlez1ayYFPl0NSnSppk8&#10;retiMl1nD/fNh6aum+xHYJ4VZS8Y4yqQv4o7K/5OPJdndpblTd63MSVv0eM8gez1N5KOiw+7Pqtm&#10;p9lpY0N3QQOg5xh8eXvhwby+x6hf/xDLnwAAAP//AwBQSwMEFAAGAAgAAAAhAMNSyPXWAAAABwEA&#10;AA8AAABkcnMvZG93bnJldi54bWxMjt1Og0AQhe9NfIfNmHhnd9sgQWRpDFHvbX2AKYxAZGeR3QJ9&#10;e8d4oZfnJ+d8xX51g5ppCr1nC9uNAUVc+6bn1sL78eUuAxUicoODZ7JwoQD78vqqwLzxC7/RfIit&#10;khEOOVroYhxzrUPdkcOw8SOxZB9+chhFTq1uJlxk3A16Z0yqHfYsDx2OVHVUfx7OzkK6rOYZPbXb&#10;r5mPFb5eFpNW1t7erE+PoCKt8a8MP/iCDqUwnfyZm6AGC0m2k6b49w+gJM+SBNTpV+uy0P/5y28A&#10;AAD//wMAUEsBAi0AFAAGAAgAAAAhALaDOJL+AAAA4QEAABMAAAAAAAAAAAAAAAAAAAAAAFtDb250&#10;ZW50X1R5cGVzXS54bWxQSwECLQAUAAYACAAAACEAOP0h/9YAAACUAQAACwAAAAAAAAAAAAAAAAAv&#10;AQAAX3JlbHMvLnJlbHNQSwECLQAUAAYACAAAACEAKCUSdzoCAABpBAAADgAAAAAAAAAAAAAAAAAu&#10;AgAAZHJzL2Uyb0RvYy54bWxQSwECLQAUAAYACAAAACEAw1LI9dYAAAAHAQAADwAAAAAAAAAAAAAA&#10;AACUBAAAZHJzL2Rvd25yZXYueG1sUEsFBgAAAAAEAAQA8wAAAJcFAAAAAA==&#10;" strokecolor="#4e6128" strokeweight="1.5pt">
                      <v:stroke endarrow="open"/>
                    </v:shape>
                  </w:pict>
                </mc:Fallback>
              </mc:AlternateContent>
            </w:r>
            <w:r w:rsidRPr="002F41ED">
              <w:rPr>
                <w:rFonts w:asciiTheme="majorHAnsi" w:hAnsiTheme="majorHAnsi" w:cs="Arial"/>
                <w:b/>
                <w:color w:val="525252" w:themeColor="accent3" w:themeShade="80"/>
                <w:szCs w:val="24"/>
              </w:rPr>
              <w:t>Yes</w:t>
            </w:r>
          </w:p>
        </w:tc>
        <w:tc>
          <w:tcPr>
            <w:tcW w:w="1080" w:type="dxa"/>
            <w:shd w:val="clear" w:color="auto" w:fill="EDEDED" w:themeFill="accent3" w:themeFillTint="33"/>
          </w:tcPr>
          <w:p w:rsidR="002F41ED" w:rsidRPr="002F41ED" w:rsidRDefault="002F41ED" w:rsidP="002F41ED">
            <w:pPr>
              <w:spacing w:line="276" w:lineRule="auto"/>
              <w:contextualSpacing/>
              <w:rPr>
                <w:rFonts w:asciiTheme="majorHAnsi" w:hAnsiTheme="majorHAnsi" w:cs="Arial"/>
                <w:b/>
                <w:szCs w:val="24"/>
              </w:rPr>
            </w:pPr>
            <w:r w:rsidRPr="002F41ED">
              <w:rPr>
                <w:rFonts w:asciiTheme="majorHAnsi" w:hAnsiTheme="majorHAnsi" w:cs="Arial"/>
                <w:b/>
                <w:color w:val="525252" w:themeColor="accent3" w:themeShade="80"/>
                <w:szCs w:val="24"/>
              </w:rPr>
              <w:t>Routine</w:t>
            </w:r>
          </w:p>
        </w:tc>
      </w:tr>
      <w:tr w:rsidR="002F41ED" w:rsidRPr="002F41ED" w:rsidTr="000D132C">
        <w:trPr>
          <w:trHeight w:val="555"/>
        </w:trPr>
        <w:tc>
          <w:tcPr>
            <w:tcW w:w="4878" w:type="dxa"/>
            <w:gridSpan w:val="2"/>
          </w:tcPr>
          <w:p w:rsidR="002F41ED" w:rsidRPr="002F41ED" w:rsidRDefault="002F41ED" w:rsidP="002F41ED">
            <w:pPr>
              <w:spacing w:line="276" w:lineRule="auto"/>
              <w:contextualSpacing/>
              <w:rPr>
                <w:rFonts w:asciiTheme="majorHAnsi" w:hAnsiTheme="majorHAnsi" w:cs="Arial"/>
                <w:b/>
                <w:szCs w:val="24"/>
              </w:rPr>
            </w:pPr>
            <w:r w:rsidRPr="002F41ED">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111760</wp:posOffset>
                      </wp:positionH>
                      <wp:positionV relativeFrom="paragraph">
                        <wp:posOffset>52070</wp:posOffset>
                      </wp:positionV>
                      <wp:extent cx="0" cy="254635"/>
                      <wp:effectExtent l="83185" t="13970" r="7874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19050">
                                <a:solidFill>
                                  <a:srgbClr val="243F6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74359" id="Straight Arrow Connector 1" o:spid="_x0000_s1026" type="#_x0000_t32" style="position:absolute;margin-left:8.8pt;margin-top:4.1pt;width:0;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1iOAIAAGkEAAAOAAAAZHJzL2Uyb0RvYy54bWysVMFu2zAMvQ/YPwi6p7ZTJ0uNJkVhJ7t0&#10;a4F2H6BIcixMFgVJjRMM+/dRcpKt22UYdpEpiXx8JJ98e3foNdlL5xWYJS2uckqk4SCU2S3pl5fN&#10;ZEGJD8wIpsHIJT1KT+9W79/dDraSU+hAC+kIghhfDXZJuxBslWWed7Jn/gqsNHjZgutZwK3bZcKx&#10;AdF7nU3zfJ4N4IR1wKX3eNqMl3SV8NtW8vDYtl4GopcUuYW0urRu45qtblm1c8x2ip9osH9g0TNl&#10;MOkFqmGBkVen/oDqFXfgoQ1XHPoM2lZxmWrAaor8t2qeO2ZlqgWb4+2lTf7/wfLP+ydHlMDZUWJY&#10;jyN6Do6pXRfIvXMwkBqMwTaCI0Xs1mB9hUG1eXKxXn4wz/YB+FdPDNQdMzuZWL8cLUKliOxNSNx4&#10;izm3wycQ6MNeA6TWHVrXR0hsCjmkCR0vE5KHQPh4yPF0Oivn17NIJ2PVOc46Hz5K6Ek0ltSfyrjw&#10;L1IWtn/wYQw8B8SkBjZK66QGbciA1G/yWZ4iPGgl4m308263rbUje4aCmpbXm3nSENJ44+bg1YiE&#10;1kkm1ic7MKXRJiE1h8X20pirl4ISLfEBRWskp01Mh3Uj3ZM1CurbTX6zXqwX5aSczteTMm+ayf2m&#10;LifzTfFh1lw3dd0U3yPzoqw6JYQ0kfxZ3EX5d+I5PbNRlhd5X9qUvUVPg0Cy528inQYfZz2qZgvi&#10;+ORidVEDqOfkfHp78cH8uk9eP/8Qqx8AAAD//wMAUEsDBBQABgAIAAAAIQBsY5ft2wAAAAYBAAAP&#10;AAAAZHJzL2Rvd25yZXYueG1sTI5NT8MwEETvSPwHa5G4UYdS2ijEqRAIEJzapgiO23jzAfE6it0m&#10;/HucExyfZjTz0vVoWnGi3jWWFVzPIhDEhdUNVwr2+dNVDMJ5ZI2tZVLwQw7W2flZiom2A2/ptPOV&#10;CCPsElRQe98lUrqiJoNuZjvikJW2N+gD9pXUPQ5h3LRyHkVLabDh8FBjRw81Fd+7o1HwWG62t8Pr&#10;x3OzePMvX917Xn5ucqUuL8b7OxCeRv9Xhkk/qEMWnA72yNqJNvBqGZoK4jmIKZ7woGAR34DMUvlf&#10;P/sFAAD//wMAUEsBAi0AFAAGAAgAAAAhALaDOJL+AAAA4QEAABMAAAAAAAAAAAAAAAAAAAAAAFtD&#10;b250ZW50X1R5cGVzXS54bWxQSwECLQAUAAYACAAAACEAOP0h/9YAAACUAQAACwAAAAAAAAAAAAAA&#10;AAAvAQAAX3JlbHMvLnJlbHNQSwECLQAUAAYACAAAACEApBO9YjgCAABpBAAADgAAAAAAAAAAAAAA&#10;AAAuAgAAZHJzL2Uyb0RvYy54bWxQSwECLQAUAAYACAAAACEAbGOX7dsAAAAGAQAADwAAAAAAAAAA&#10;AAAAAACSBAAAZHJzL2Rvd25yZXYueG1sUEsFBgAAAAAEAAQA8wAAAJoFAAAAAA==&#10;" strokecolor="#243f60" strokeweight="1.5pt">
                      <v:stroke endarrow="open"/>
                    </v:shape>
                  </w:pict>
                </mc:Fallback>
              </mc:AlternateContent>
            </w:r>
            <w:r w:rsidRPr="002F41ED">
              <w:rPr>
                <w:rFonts w:asciiTheme="majorHAnsi" w:hAnsiTheme="majorHAnsi" w:cs="Arial"/>
                <w:szCs w:val="24"/>
              </w:rPr>
              <w:t xml:space="preserve">      </w:t>
            </w:r>
            <w:r w:rsidRPr="002F41ED">
              <w:rPr>
                <w:rFonts w:asciiTheme="majorHAnsi" w:hAnsiTheme="majorHAnsi" w:cs="Arial"/>
                <w:b/>
                <w:color w:val="44546A" w:themeColor="text2"/>
                <w:szCs w:val="24"/>
              </w:rPr>
              <w:t>No</w:t>
            </w:r>
          </w:p>
        </w:tc>
        <w:tc>
          <w:tcPr>
            <w:tcW w:w="1170" w:type="dxa"/>
          </w:tcPr>
          <w:p w:rsidR="002F41ED" w:rsidRPr="002F41ED" w:rsidRDefault="002F41ED" w:rsidP="002F41ED">
            <w:pPr>
              <w:spacing w:line="276" w:lineRule="auto"/>
              <w:contextualSpacing/>
              <w:rPr>
                <w:rFonts w:asciiTheme="majorHAnsi" w:hAnsiTheme="majorHAnsi" w:cs="Arial"/>
                <w:szCs w:val="24"/>
              </w:rPr>
            </w:pPr>
          </w:p>
        </w:tc>
        <w:tc>
          <w:tcPr>
            <w:tcW w:w="1080" w:type="dxa"/>
          </w:tcPr>
          <w:p w:rsidR="002F41ED" w:rsidRPr="002F41ED" w:rsidRDefault="002F41ED" w:rsidP="002F41ED">
            <w:pPr>
              <w:spacing w:line="276" w:lineRule="auto"/>
              <w:contextualSpacing/>
              <w:rPr>
                <w:rFonts w:asciiTheme="majorHAnsi" w:hAnsiTheme="majorHAnsi" w:cs="Arial"/>
                <w:b/>
                <w:color w:val="525252" w:themeColor="accent3" w:themeShade="80"/>
                <w:szCs w:val="24"/>
              </w:rPr>
            </w:pPr>
          </w:p>
        </w:tc>
      </w:tr>
      <w:tr w:rsidR="002F41ED" w:rsidRPr="002F41ED" w:rsidTr="000D132C">
        <w:trPr>
          <w:trHeight w:val="437"/>
        </w:trPr>
        <w:tc>
          <w:tcPr>
            <w:tcW w:w="1590" w:type="dxa"/>
            <w:shd w:val="clear" w:color="auto" w:fill="DEEAF6" w:themeFill="accent1" w:themeFillTint="33"/>
          </w:tcPr>
          <w:p w:rsidR="002F41ED" w:rsidRPr="002F41ED" w:rsidRDefault="002F41ED" w:rsidP="002F41ED">
            <w:pPr>
              <w:spacing w:after="200" w:line="276" w:lineRule="auto"/>
              <w:contextualSpacing/>
              <w:rPr>
                <w:rFonts w:asciiTheme="majorHAnsi" w:hAnsiTheme="majorHAnsi" w:cs="Arial"/>
                <w:b/>
                <w:szCs w:val="24"/>
              </w:rPr>
            </w:pPr>
            <w:r w:rsidRPr="002F41ED">
              <w:rPr>
                <w:rFonts w:asciiTheme="majorHAnsi" w:hAnsiTheme="majorHAnsi" w:cs="Arial"/>
                <w:b/>
                <w:color w:val="44546A" w:themeColor="text2"/>
                <w:szCs w:val="24"/>
              </w:rPr>
              <w:t>Non-Routine</w:t>
            </w:r>
          </w:p>
        </w:tc>
        <w:tc>
          <w:tcPr>
            <w:tcW w:w="3288" w:type="dxa"/>
          </w:tcPr>
          <w:p w:rsidR="002F41ED" w:rsidRPr="002F41ED" w:rsidRDefault="002F41ED" w:rsidP="002F41ED">
            <w:pPr>
              <w:spacing w:after="200" w:line="276" w:lineRule="auto"/>
              <w:contextualSpacing/>
              <w:rPr>
                <w:rFonts w:asciiTheme="majorHAnsi" w:hAnsiTheme="majorHAnsi" w:cs="Arial"/>
                <w:b/>
                <w:szCs w:val="24"/>
              </w:rPr>
            </w:pPr>
          </w:p>
        </w:tc>
        <w:tc>
          <w:tcPr>
            <w:tcW w:w="1170" w:type="dxa"/>
          </w:tcPr>
          <w:p w:rsidR="002F41ED" w:rsidRPr="002F41ED" w:rsidRDefault="002F41ED" w:rsidP="002F41ED">
            <w:pPr>
              <w:spacing w:after="200" w:line="276" w:lineRule="auto"/>
              <w:contextualSpacing/>
              <w:rPr>
                <w:rFonts w:asciiTheme="majorHAnsi" w:hAnsiTheme="majorHAnsi" w:cs="Arial"/>
                <w:szCs w:val="24"/>
              </w:rPr>
            </w:pPr>
          </w:p>
        </w:tc>
        <w:tc>
          <w:tcPr>
            <w:tcW w:w="1080" w:type="dxa"/>
          </w:tcPr>
          <w:p w:rsidR="002F41ED" w:rsidRPr="002F41ED" w:rsidRDefault="002F41ED" w:rsidP="002F41ED">
            <w:pPr>
              <w:spacing w:after="200" w:line="276" w:lineRule="auto"/>
              <w:contextualSpacing/>
              <w:rPr>
                <w:rFonts w:asciiTheme="majorHAnsi" w:hAnsiTheme="majorHAnsi" w:cs="Arial"/>
                <w:szCs w:val="24"/>
              </w:rPr>
            </w:pPr>
          </w:p>
        </w:tc>
      </w:tr>
    </w:tbl>
    <w:p w:rsidR="002F41ED" w:rsidRPr="002F41ED" w:rsidRDefault="002F41ED" w:rsidP="002F41ED">
      <w:pPr>
        <w:spacing w:after="0" w:line="240" w:lineRule="auto"/>
        <w:rPr>
          <w:rFonts w:ascii="Times New Roman" w:eastAsia="Times New Roman" w:hAnsi="Times New Roman" w:cs="Times New Roman"/>
          <w:sz w:val="24"/>
          <w:szCs w:val="24"/>
        </w:rPr>
      </w:pPr>
    </w:p>
    <w:p w:rsidR="002F41ED" w:rsidRDefault="002F41ED"/>
    <w:sectPr w:rsidR="002F41ED" w:rsidSect="00C84CAC">
      <w:headerReference w:type="default" r:id="rId10"/>
      <w:footerReference w:type="default" r:id="rId11"/>
      <w:headerReference w:type="first" r:id="rId12"/>
      <w:footerReference w:type="first" r:id="rId13"/>
      <w:pgSz w:w="12240" w:h="15840"/>
      <w:pgMar w:top="210" w:right="1800" w:bottom="1440" w:left="1800" w:header="360" w:footer="3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ED" w:rsidRDefault="002F41ED" w:rsidP="002F41ED">
      <w:pPr>
        <w:spacing w:after="0" w:line="240" w:lineRule="auto"/>
      </w:pPr>
      <w:r>
        <w:separator/>
      </w:r>
    </w:p>
  </w:endnote>
  <w:endnote w:type="continuationSeparator" w:id="0">
    <w:p w:rsidR="002F41ED" w:rsidRDefault="002F41ED" w:rsidP="002F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DA" w:rsidRDefault="00835008" w:rsidP="00C84CAC">
    <w:pPr>
      <w:pStyle w:val="Footer"/>
      <w:ind w:right="-1260"/>
      <w:jc w:val="right"/>
    </w:pPr>
  </w:p>
  <w:p w:rsidR="007355DA" w:rsidRDefault="00835008" w:rsidP="00C84CAC">
    <w:pPr>
      <w:pStyle w:val="Footer"/>
      <w:ind w:left="-900" w:right="-1260"/>
    </w:pPr>
    <w:r w:rsidRPr="00EE2E5D">
      <w:t xml:space="preserve">    </w:t>
    </w:r>
    <w:r>
      <w:t xml:space="preserve">      </w:t>
    </w:r>
  </w:p>
  <w:p w:rsidR="007355DA" w:rsidRDefault="00835008" w:rsidP="00C84CAC">
    <w:pPr>
      <w:pStyle w:val="Footer"/>
      <w:ind w:right="-1260"/>
      <w:jc w:val="right"/>
    </w:pPr>
    <w:r w:rsidRPr="00831E5F">
      <w:rPr>
        <w:rFonts w:ascii="Cambria" w:hAnsi="Cambria" w:cs="Arial"/>
      </w:rPr>
      <w:t xml:space="preserve">Page </w:t>
    </w:r>
    <w:r w:rsidRPr="00831E5F">
      <w:rPr>
        <w:rFonts w:ascii="Cambria" w:hAnsi="Cambria" w:cs="Arial"/>
        <w:bCs/>
      </w:rPr>
      <w:fldChar w:fldCharType="begin"/>
    </w:r>
    <w:r w:rsidRPr="00831E5F">
      <w:rPr>
        <w:rFonts w:ascii="Cambria" w:hAnsi="Cambria" w:cs="Arial"/>
        <w:bCs/>
      </w:rPr>
      <w:instrText xml:space="preserve"> PAGE </w:instrText>
    </w:r>
    <w:r w:rsidRPr="00831E5F">
      <w:rPr>
        <w:rFonts w:ascii="Cambria" w:hAnsi="Cambria" w:cs="Arial"/>
        <w:bCs/>
      </w:rPr>
      <w:fldChar w:fldCharType="separate"/>
    </w:r>
    <w:r>
      <w:rPr>
        <w:rFonts w:ascii="Cambria" w:hAnsi="Cambria" w:cs="Arial"/>
        <w:bCs/>
        <w:noProof/>
      </w:rPr>
      <w:t>2</w:t>
    </w:r>
    <w:r w:rsidRPr="00831E5F">
      <w:rPr>
        <w:rFonts w:ascii="Cambria" w:hAnsi="Cambria" w:cs="Arial"/>
        <w:bCs/>
      </w:rPr>
      <w:fldChar w:fldCharType="end"/>
    </w:r>
    <w:r w:rsidRPr="00831E5F">
      <w:rPr>
        <w:rFonts w:ascii="Cambria" w:hAnsi="Cambria" w:cs="Arial"/>
      </w:rPr>
      <w:t xml:space="preserve"> of </w:t>
    </w:r>
    <w:r w:rsidRPr="00831E5F">
      <w:rPr>
        <w:rFonts w:ascii="Cambria" w:hAnsi="Cambria" w:cs="Arial"/>
        <w:bCs/>
      </w:rPr>
      <w:fldChar w:fldCharType="begin"/>
    </w:r>
    <w:r w:rsidRPr="00831E5F">
      <w:rPr>
        <w:rFonts w:ascii="Cambria" w:hAnsi="Cambria" w:cs="Arial"/>
        <w:bCs/>
      </w:rPr>
      <w:instrText xml:space="preserve"> NUMPAGES  </w:instrText>
    </w:r>
    <w:r w:rsidRPr="00831E5F">
      <w:rPr>
        <w:rFonts w:ascii="Cambria" w:hAnsi="Cambria" w:cs="Arial"/>
        <w:bCs/>
      </w:rPr>
      <w:fldChar w:fldCharType="separate"/>
    </w:r>
    <w:r>
      <w:rPr>
        <w:rFonts w:ascii="Cambria" w:hAnsi="Cambria" w:cs="Arial"/>
        <w:bCs/>
        <w:noProof/>
      </w:rPr>
      <w:t>10</w:t>
    </w:r>
    <w:r w:rsidRPr="00831E5F">
      <w:rPr>
        <w:rFonts w:ascii="Cambria" w:hAnsi="Cambria" w:cs="Arial"/>
        <w:bCs/>
      </w:rPr>
      <w:fldChar w:fldCharType="end"/>
    </w:r>
  </w:p>
  <w:p w:rsidR="007355DA" w:rsidRDefault="0083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DA" w:rsidRPr="000D6659" w:rsidRDefault="00835008" w:rsidP="00C84CAC">
    <w:pPr>
      <w:pStyle w:val="Footer"/>
      <w:ind w:left="-900" w:right="-1260"/>
      <w:rPr>
        <w:sz w:val="22"/>
        <w:szCs w:val="22"/>
      </w:rPr>
    </w:pPr>
    <w:r w:rsidRPr="000D6659">
      <w:rPr>
        <w:sz w:val="22"/>
        <w:szCs w:val="22"/>
      </w:rPr>
      <w:t xml:space="preserve"> </w:t>
    </w:r>
  </w:p>
  <w:p w:rsidR="007355DA" w:rsidRDefault="00835008" w:rsidP="00C84CAC">
    <w:pPr>
      <w:pStyle w:val="Footer"/>
      <w:ind w:right="-1260"/>
      <w:jc w:val="right"/>
    </w:pPr>
    <w:r w:rsidRPr="00831E5F">
      <w:rPr>
        <w:rFonts w:ascii="Cambria" w:hAnsi="Cambria"/>
      </w:rPr>
      <w:t xml:space="preserve">Page </w:t>
    </w:r>
    <w:r w:rsidRPr="00831E5F">
      <w:rPr>
        <w:rFonts w:ascii="Cambria" w:hAnsi="Cambria"/>
        <w:bCs/>
      </w:rPr>
      <w:fldChar w:fldCharType="begin"/>
    </w:r>
    <w:r w:rsidRPr="00831E5F">
      <w:rPr>
        <w:rFonts w:ascii="Cambria" w:hAnsi="Cambria"/>
        <w:bCs/>
      </w:rPr>
      <w:instrText xml:space="preserve"> PAGE </w:instrText>
    </w:r>
    <w:r w:rsidRPr="00831E5F">
      <w:rPr>
        <w:rFonts w:ascii="Cambria" w:hAnsi="Cambria"/>
        <w:bCs/>
      </w:rPr>
      <w:fldChar w:fldCharType="separate"/>
    </w:r>
    <w:r>
      <w:rPr>
        <w:rFonts w:ascii="Cambria" w:hAnsi="Cambria"/>
        <w:bCs/>
        <w:noProof/>
      </w:rPr>
      <w:t>1</w:t>
    </w:r>
    <w:r w:rsidRPr="00831E5F">
      <w:rPr>
        <w:rFonts w:ascii="Cambria" w:hAnsi="Cambria"/>
        <w:bCs/>
      </w:rPr>
      <w:fldChar w:fldCharType="end"/>
    </w:r>
    <w:r w:rsidRPr="00831E5F">
      <w:rPr>
        <w:rFonts w:ascii="Cambria" w:hAnsi="Cambria"/>
      </w:rPr>
      <w:t xml:space="preserve"> of </w:t>
    </w:r>
    <w:r w:rsidRPr="00831E5F">
      <w:rPr>
        <w:rFonts w:ascii="Cambria" w:hAnsi="Cambria"/>
        <w:bCs/>
      </w:rPr>
      <w:fldChar w:fldCharType="begin"/>
    </w:r>
    <w:r w:rsidRPr="00831E5F">
      <w:rPr>
        <w:rFonts w:ascii="Cambria" w:hAnsi="Cambria"/>
        <w:bCs/>
      </w:rPr>
      <w:instrText xml:space="preserve"> NUMPAGES  </w:instrText>
    </w:r>
    <w:r w:rsidRPr="00831E5F">
      <w:rPr>
        <w:rFonts w:ascii="Cambria" w:hAnsi="Cambria"/>
        <w:bCs/>
      </w:rPr>
      <w:fldChar w:fldCharType="separate"/>
    </w:r>
    <w:r>
      <w:rPr>
        <w:rFonts w:ascii="Cambria" w:hAnsi="Cambria"/>
        <w:bCs/>
        <w:noProof/>
      </w:rPr>
      <w:t>10</w:t>
    </w:r>
    <w:r w:rsidRPr="00831E5F">
      <w:rPr>
        <w:rFonts w:ascii="Cambria" w:hAnsi="Cambria"/>
        <w:bCs/>
      </w:rPr>
      <w:fldChar w:fldCharType="end"/>
    </w:r>
  </w:p>
  <w:p w:rsidR="007355DA" w:rsidRDefault="00835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ED" w:rsidRDefault="002F41ED" w:rsidP="002F41ED">
      <w:pPr>
        <w:spacing w:after="0" w:line="240" w:lineRule="auto"/>
      </w:pPr>
      <w:r>
        <w:separator/>
      </w:r>
    </w:p>
  </w:footnote>
  <w:footnote w:type="continuationSeparator" w:id="0">
    <w:p w:rsidR="002F41ED" w:rsidRDefault="002F41ED" w:rsidP="002F4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DA" w:rsidRPr="00831E5F" w:rsidRDefault="00835008" w:rsidP="00C84CAC">
    <w:pPr>
      <w:pStyle w:val="Header"/>
      <w:ind w:left="-1260" w:right="-1350"/>
      <w:rPr>
        <w:rFonts w:ascii="Cambria" w:hAnsi="Cambria" w:cs="Arial"/>
      </w:rPr>
    </w:pPr>
    <w:r w:rsidRPr="00831E5F">
      <w:rPr>
        <w:rFonts w:ascii="Cambria" w:hAnsi="Cambria" w:cs="Arial"/>
      </w:rPr>
      <w:fldChar w:fldCharType="begin"/>
    </w:r>
    <w:r w:rsidRPr="00831E5F">
      <w:rPr>
        <w:rFonts w:ascii="Cambria" w:hAnsi="Cambria" w:cs="Arial"/>
      </w:rPr>
      <w:instrText xml:space="preserve"> DOCVARIABLE "Document Title" \* MERGEFORMAT </w:instrText>
    </w:r>
    <w:r w:rsidRPr="00831E5F">
      <w:rPr>
        <w:rFonts w:ascii="Cambria" w:hAnsi="Cambria" w:cs="Arial"/>
      </w:rPr>
      <w:fldChar w:fldCharType="separate"/>
    </w:r>
    <w:r>
      <w:rPr>
        <w:rFonts w:ascii="Cambria" w:hAnsi="Cambria" w:cs="Arial"/>
      </w:rPr>
      <w:t>Revenue Integrity - CDM - Supply Charging Policy</w:t>
    </w:r>
    <w:r w:rsidRPr="00831E5F">
      <w:rPr>
        <w:rFonts w:ascii="Cambria" w:hAnsi="Cambria" w:cs="Arial"/>
      </w:rPr>
      <w:fldChar w:fldCharType="end"/>
    </w:r>
    <w:r w:rsidRPr="00831E5F">
      <w:rPr>
        <w:rFonts w:ascii="Cambria" w:hAnsi="Cambria" w:cs="Arial"/>
      </w:rPr>
      <w:t xml:space="preserve">  </w:t>
    </w:r>
  </w:p>
  <w:p w:rsidR="007355DA" w:rsidRDefault="00835008" w:rsidP="00C84CAC">
    <w:pPr>
      <w:pStyle w:val="Header"/>
      <w:ind w:hanging="1260"/>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DA" w:rsidRPr="00831E5F" w:rsidRDefault="00835008" w:rsidP="00C84CAC">
    <w:pPr>
      <w:pStyle w:val="Header"/>
      <w:ind w:left="-1260" w:right="-1350"/>
      <w:rPr>
        <w:rFonts w:ascii="Cambria" w:hAnsi="Cambria"/>
      </w:rPr>
    </w:pPr>
    <w:r w:rsidRPr="00831E5F">
      <w:rPr>
        <w:rFonts w:ascii="Cambria" w:hAnsi="Cambria"/>
      </w:rPr>
      <w:fldChar w:fldCharType="begin"/>
    </w:r>
    <w:r w:rsidRPr="00831E5F">
      <w:rPr>
        <w:rFonts w:ascii="Cambria" w:hAnsi="Cambria"/>
      </w:rPr>
      <w:instrText xml:space="preserve"> DOCVARIABLE "Document Title" \* MERGEFORMAT </w:instrText>
    </w:r>
    <w:r w:rsidRPr="00831E5F">
      <w:rPr>
        <w:rFonts w:ascii="Cambria" w:hAnsi="Cambria"/>
      </w:rPr>
      <w:fldChar w:fldCharType="separate"/>
    </w:r>
    <w:r>
      <w:rPr>
        <w:rFonts w:ascii="Cambria" w:hAnsi="Cambria"/>
      </w:rPr>
      <w:t>Revenue Integrity - CDM - Supply Charging Policy</w:t>
    </w:r>
    <w:r w:rsidRPr="00831E5F">
      <w:rPr>
        <w:rFonts w:ascii="Cambria" w:hAnsi="Cambria"/>
      </w:rPr>
      <w:fldChar w:fldCharType="end"/>
    </w:r>
    <w:r w:rsidRPr="00831E5F">
      <w:rPr>
        <w:rFonts w:ascii="Cambria" w:hAnsi="Cambria"/>
      </w:rPr>
      <w:t xml:space="preserve">  </w:t>
    </w:r>
  </w:p>
  <w:p w:rsidR="007355DA" w:rsidRDefault="00835008" w:rsidP="00C84CAC">
    <w:pPr>
      <w:pStyle w:val="Header"/>
      <w:ind w:left="-1260" w:right="-1350"/>
      <w:rPr>
        <w:rFonts w:ascii="Arial" w:hAnsi="Arial" w:cs="Arial"/>
        <w:sz w:val="20"/>
        <w:szCs w:val="20"/>
      </w:rPr>
    </w:pPr>
  </w:p>
  <w:tbl>
    <w:tblPr>
      <w:tblStyle w:val="TableGrid"/>
      <w:tblW w:w="9165" w:type="dxa"/>
      <w:tblInd w:w="1008" w:type="dxa"/>
      <w:tblLook w:val="04A0" w:firstRow="1" w:lastRow="0" w:firstColumn="1" w:lastColumn="0" w:noHBand="0" w:noVBand="1"/>
    </w:tblPr>
    <w:tblGrid>
      <w:gridCol w:w="4050"/>
      <w:gridCol w:w="1800"/>
      <w:gridCol w:w="3315"/>
    </w:tblGrid>
    <w:tr w:rsidR="007355DA" w:rsidTr="00C84CAC">
      <w:trPr>
        <w:trHeight w:val="273"/>
      </w:trPr>
      <w:tc>
        <w:tcPr>
          <w:tcW w:w="4050" w:type="dxa"/>
        </w:tcPr>
        <w:p w:rsidR="007355DA" w:rsidRPr="00831E5F" w:rsidRDefault="002F41ED" w:rsidP="00C84CAC">
          <w:pPr>
            <w:pStyle w:val="Header"/>
            <w:ind w:right="-1350"/>
            <w:rPr>
              <w:rFonts w:asciiTheme="majorHAnsi" w:hAnsiTheme="majorHAnsi"/>
            </w:rPr>
          </w:pPr>
          <w:r>
            <w:rPr>
              <w:noProof/>
            </w:rPr>
            <w:drawing>
              <wp:anchor distT="0" distB="0" distL="114300" distR="114300" simplePos="0" relativeHeight="251661312" behindDoc="0" locked="0" layoutInCell="1" allowOverlap="1">
                <wp:simplePos x="0" y="0"/>
                <wp:positionH relativeFrom="column">
                  <wp:posOffset>-1449705</wp:posOffset>
                </wp:positionH>
                <wp:positionV relativeFrom="paragraph">
                  <wp:posOffset>3810</wp:posOffset>
                </wp:positionV>
                <wp:extent cx="1290320" cy="340995"/>
                <wp:effectExtent l="0" t="0" r="508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E5F">
            <w:rPr>
              <w:rFonts w:asciiTheme="majorHAnsi" w:hAnsiTheme="majorHAnsi"/>
            </w:rPr>
            <w:t xml:space="preserve"> </w:t>
          </w:r>
        </w:p>
      </w:tc>
      <w:tc>
        <w:tcPr>
          <w:tcW w:w="5115" w:type="dxa"/>
          <w:gridSpan w:val="2"/>
        </w:tcPr>
        <w:p w:rsidR="007355DA" w:rsidRPr="00831E5F" w:rsidRDefault="00835008" w:rsidP="00C84CAC">
          <w:pPr>
            <w:pStyle w:val="Header"/>
            <w:ind w:right="-1350"/>
            <w:rPr>
              <w:rFonts w:asciiTheme="majorHAnsi" w:hAnsiTheme="majorHAnsi"/>
            </w:rPr>
          </w:pPr>
        </w:p>
      </w:tc>
    </w:tr>
    <w:tr w:rsidR="007355DA" w:rsidTr="00C84CAC">
      <w:trPr>
        <w:trHeight w:val="273"/>
      </w:trPr>
      <w:tc>
        <w:tcPr>
          <w:tcW w:w="5850" w:type="dxa"/>
          <w:gridSpan w:val="2"/>
        </w:tcPr>
        <w:p w:rsidR="007355DA" w:rsidRPr="00831E5F" w:rsidRDefault="00835008" w:rsidP="00C84CAC">
          <w:pPr>
            <w:pStyle w:val="Header"/>
            <w:ind w:right="-1350"/>
            <w:rPr>
              <w:rFonts w:asciiTheme="majorHAnsi" w:hAnsiTheme="majorHAnsi"/>
            </w:rPr>
          </w:pPr>
        </w:p>
      </w:tc>
      <w:tc>
        <w:tcPr>
          <w:tcW w:w="3315" w:type="dxa"/>
        </w:tcPr>
        <w:p w:rsidR="007355DA" w:rsidRPr="00831E5F" w:rsidRDefault="00835008" w:rsidP="00C84CAC">
          <w:pPr>
            <w:pStyle w:val="Header"/>
            <w:ind w:right="-1350"/>
            <w:rPr>
              <w:rFonts w:asciiTheme="majorHAnsi" w:hAnsiTheme="majorHAnsi"/>
            </w:rPr>
          </w:pPr>
        </w:p>
      </w:tc>
    </w:tr>
  </w:tbl>
  <w:p w:rsidR="007355DA" w:rsidRDefault="00835008" w:rsidP="00C84CAC">
    <w:pPr>
      <w:pStyle w:val="Header"/>
      <w:ind w:right="-1350"/>
      <w:rPr>
        <w:rFonts w:ascii="Arial" w:hAnsi="Arial" w:cs="Arial"/>
        <w:sz w:val="20"/>
        <w:szCs w:val="20"/>
      </w:rPr>
    </w:pPr>
  </w:p>
  <w:p w:rsidR="007355DA" w:rsidRPr="00A862E3" w:rsidRDefault="00835008" w:rsidP="00C84CAC">
    <w:pPr>
      <w:pStyle w:val="Header"/>
      <w:ind w:left="-1260" w:right="-1350"/>
      <w:rPr>
        <w:rFonts w:ascii="Arial" w:hAnsi="Arial" w:cs="Arial"/>
        <w:sz w:val="20"/>
        <w:szCs w:val="20"/>
      </w:rPr>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D7E"/>
    <w:multiLevelType w:val="hybridMultilevel"/>
    <w:tmpl w:val="EE42039E"/>
    <w:lvl w:ilvl="0" w:tplc="C4FC93FA">
      <w:start w:val="1"/>
      <w:numFmt w:val="bullet"/>
      <w:lvlText w:val=""/>
      <w:lvlJc w:val="left"/>
      <w:pPr>
        <w:ind w:left="360" w:hanging="360"/>
      </w:pPr>
      <w:rPr>
        <w:rFonts w:ascii="Symbol" w:hAnsi="Symbol" w:hint="default"/>
      </w:rPr>
    </w:lvl>
    <w:lvl w:ilvl="1" w:tplc="6A34B97A" w:tentative="1">
      <w:start w:val="1"/>
      <w:numFmt w:val="bullet"/>
      <w:lvlText w:val="o"/>
      <w:lvlJc w:val="left"/>
      <w:pPr>
        <w:ind w:left="1080" w:hanging="360"/>
      </w:pPr>
      <w:rPr>
        <w:rFonts w:ascii="Courier New" w:hAnsi="Courier New" w:hint="default"/>
      </w:rPr>
    </w:lvl>
    <w:lvl w:ilvl="2" w:tplc="EC90DBA4" w:tentative="1">
      <w:start w:val="1"/>
      <w:numFmt w:val="bullet"/>
      <w:lvlText w:val=""/>
      <w:lvlJc w:val="left"/>
      <w:pPr>
        <w:ind w:left="1800" w:hanging="360"/>
      </w:pPr>
      <w:rPr>
        <w:rFonts w:ascii="Wingdings" w:hAnsi="Wingdings" w:hint="default"/>
      </w:rPr>
    </w:lvl>
    <w:lvl w:ilvl="3" w:tplc="E0245F8A" w:tentative="1">
      <w:start w:val="1"/>
      <w:numFmt w:val="bullet"/>
      <w:lvlText w:val=""/>
      <w:lvlJc w:val="left"/>
      <w:pPr>
        <w:ind w:left="2520" w:hanging="360"/>
      </w:pPr>
      <w:rPr>
        <w:rFonts w:ascii="Symbol" w:hAnsi="Symbol" w:hint="default"/>
      </w:rPr>
    </w:lvl>
    <w:lvl w:ilvl="4" w:tplc="A6580534" w:tentative="1">
      <w:start w:val="1"/>
      <w:numFmt w:val="bullet"/>
      <w:lvlText w:val="o"/>
      <w:lvlJc w:val="left"/>
      <w:pPr>
        <w:ind w:left="3240" w:hanging="360"/>
      </w:pPr>
      <w:rPr>
        <w:rFonts w:ascii="Courier New" w:hAnsi="Courier New" w:hint="default"/>
      </w:rPr>
    </w:lvl>
    <w:lvl w:ilvl="5" w:tplc="078241E6" w:tentative="1">
      <w:start w:val="1"/>
      <w:numFmt w:val="bullet"/>
      <w:lvlText w:val=""/>
      <w:lvlJc w:val="left"/>
      <w:pPr>
        <w:ind w:left="3960" w:hanging="360"/>
      </w:pPr>
      <w:rPr>
        <w:rFonts w:ascii="Wingdings" w:hAnsi="Wingdings" w:hint="default"/>
      </w:rPr>
    </w:lvl>
    <w:lvl w:ilvl="6" w:tplc="7E061EB0" w:tentative="1">
      <w:start w:val="1"/>
      <w:numFmt w:val="bullet"/>
      <w:lvlText w:val=""/>
      <w:lvlJc w:val="left"/>
      <w:pPr>
        <w:ind w:left="4680" w:hanging="360"/>
      </w:pPr>
      <w:rPr>
        <w:rFonts w:ascii="Symbol" w:hAnsi="Symbol" w:hint="default"/>
      </w:rPr>
    </w:lvl>
    <w:lvl w:ilvl="7" w:tplc="D0747560" w:tentative="1">
      <w:start w:val="1"/>
      <w:numFmt w:val="bullet"/>
      <w:lvlText w:val="o"/>
      <w:lvlJc w:val="left"/>
      <w:pPr>
        <w:ind w:left="5400" w:hanging="360"/>
      </w:pPr>
      <w:rPr>
        <w:rFonts w:ascii="Courier New" w:hAnsi="Courier New" w:hint="default"/>
      </w:rPr>
    </w:lvl>
    <w:lvl w:ilvl="8" w:tplc="49CA4FEC" w:tentative="1">
      <w:start w:val="1"/>
      <w:numFmt w:val="bullet"/>
      <w:lvlText w:val=""/>
      <w:lvlJc w:val="left"/>
      <w:pPr>
        <w:ind w:left="6120" w:hanging="360"/>
      </w:pPr>
      <w:rPr>
        <w:rFonts w:ascii="Wingdings" w:hAnsi="Wingdings" w:hint="default"/>
      </w:rPr>
    </w:lvl>
  </w:abstractNum>
  <w:abstractNum w:abstractNumId="1">
    <w:nsid w:val="060D572F"/>
    <w:multiLevelType w:val="hybridMultilevel"/>
    <w:tmpl w:val="CF441256"/>
    <w:lvl w:ilvl="0" w:tplc="C88C28B8">
      <w:start w:val="1"/>
      <w:numFmt w:val="bullet"/>
      <w:lvlText w:val=""/>
      <w:lvlJc w:val="left"/>
      <w:pPr>
        <w:ind w:left="540" w:hanging="360"/>
      </w:pPr>
      <w:rPr>
        <w:rFonts w:ascii="Symbol" w:hAnsi="Symbol" w:hint="default"/>
      </w:rPr>
    </w:lvl>
    <w:lvl w:ilvl="1" w:tplc="6644BD74" w:tentative="1">
      <w:start w:val="1"/>
      <w:numFmt w:val="bullet"/>
      <w:lvlText w:val="o"/>
      <w:lvlJc w:val="left"/>
      <w:pPr>
        <w:ind w:left="1260" w:hanging="360"/>
      </w:pPr>
      <w:rPr>
        <w:rFonts w:ascii="Courier New" w:hAnsi="Courier New" w:hint="default"/>
      </w:rPr>
    </w:lvl>
    <w:lvl w:ilvl="2" w:tplc="8364308E" w:tentative="1">
      <w:start w:val="1"/>
      <w:numFmt w:val="bullet"/>
      <w:lvlText w:val=""/>
      <w:lvlJc w:val="left"/>
      <w:pPr>
        <w:ind w:left="1980" w:hanging="360"/>
      </w:pPr>
      <w:rPr>
        <w:rFonts w:ascii="Wingdings" w:hAnsi="Wingdings" w:hint="default"/>
      </w:rPr>
    </w:lvl>
    <w:lvl w:ilvl="3" w:tplc="471C56CC" w:tentative="1">
      <w:start w:val="1"/>
      <w:numFmt w:val="bullet"/>
      <w:lvlText w:val=""/>
      <w:lvlJc w:val="left"/>
      <w:pPr>
        <w:ind w:left="2700" w:hanging="360"/>
      </w:pPr>
      <w:rPr>
        <w:rFonts w:ascii="Symbol" w:hAnsi="Symbol" w:hint="default"/>
      </w:rPr>
    </w:lvl>
    <w:lvl w:ilvl="4" w:tplc="3BA0F094" w:tentative="1">
      <w:start w:val="1"/>
      <w:numFmt w:val="bullet"/>
      <w:lvlText w:val="o"/>
      <w:lvlJc w:val="left"/>
      <w:pPr>
        <w:ind w:left="3420" w:hanging="360"/>
      </w:pPr>
      <w:rPr>
        <w:rFonts w:ascii="Courier New" w:hAnsi="Courier New" w:hint="default"/>
      </w:rPr>
    </w:lvl>
    <w:lvl w:ilvl="5" w:tplc="09126258" w:tentative="1">
      <w:start w:val="1"/>
      <w:numFmt w:val="bullet"/>
      <w:lvlText w:val=""/>
      <w:lvlJc w:val="left"/>
      <w:pPr>
        <w:ind w:left="4140" w:hanging="360"/>
      </w:pPr>
      <w:rPr>
        <w:rFonts w:ascii="Wingdings" w:hAnsi="Wingdings" w:hint="default"/>
      </w:rPr>
    </w:lvl>
    <w:lvl w:ilvl="6" w:tplc="59E89E34" w:tentative="1">
      <w:start w:val="1"/>
      <w:numFmt w:val="bullet"/>
      <w:lvlText w:val=""/>
      <w:lvlJc w:val="left"/>
      <w:pPr>
        <w:ind w:left="4860" w:hanging="360"/>
      </w:pPr>
      <w:rPr>
        <w:rFonts w:ascii="Symbol" w:hAnsi="Symbol" w:hint="default"/>
      </w:rPr>
    </w:lvl>
    <w:lvl w:ilvl="7" w:tplc="C676516E" w:tentative="1">
      <w:start w:val="1"/>
      <w:numFmt w:val="bullet"/>
      <w:lvlText w:val="o"/>
      <w:lvlJc w:val="left"/>
      <w:pPr>
        <w:ind w:left="5580" w:hanging="360"/>
      </w:pPr>
      <w:rPr>
        <w:rFonts w:ascii="Courier New" w:hAnsi="Courier New" w:hint="default"/>
      </w:rPr>
    </w:lvl>
    <w:lvl w:ilvl="8" w:tplc="43E87F3E" w:tentative="1">
      <w:start w:val="1"/>
      <w:numFmt w:val="bullet"/>
      <w:lvlText w:val=""/>
      <w:lvlJc w:val="left"/>
      <w:pPr>
        <w:ind w:left="6300" w:hanging="360"/>
      </w:pPr>
      <w:rPr>
        <w:rFonts w:ascii="Wingdings" w:hAnsi="Wingdings" w:hint="default"/>
      </w:rPr>
    </w:lvl>
  </w:abstractNum>
  <w:abstractNum w:abstractNumId="2">
    <w:nsid w:val="1A43281A"/>
    <w:multiLevelType w:val="hybridMultilevel"/>
    <w:tmpl w:val="903A6A1A"/>
    <w:lvl w:ilvl="0" w:tplc="CD503206">
      <w:start w:val="1"/>
      <w:numFmt w:val="bullet"/>
      <w:lvlText w:val=""/>
      <w:lvlJc w:val="left"/>
      <w:pPr>
        <w:ind w:left="720" w:hanging="360"/>
      </w:pPr>
      <w:rPr>
        <w:rFonts w:ascii="Symbol" w:hAnsi="Symbol" w:hint="default"/>
      </w:rPr>
    </w:lvl>
    <w:lvl w:ilvl="1" w:tplc="9566DA04" w:tentative="1">
      <w:start w:val="1"/>
      <w:numFmt w:val="bullet"/>
      <w:lvlText w:val="o"/>
      <w:lvlJc w:val="left"/>
      <w:pPr>
        <w:ind w:left="1440" w:hanging="360"/>
      </w:pPr>
      <w:rPr>
        <w:rFonts w:ascii="Courier New" w:hAnsi="Courier New" w:hint="default"/>
      </w:rPr>
    </w:lvl>
    <w:lvl w:ilvl="2" w:tplc="6D76E4B0" w:tentative="1">
      <w:start w:val="1"/>
      <w:numFmt w:val="bullet"/>
      <w:lvlText w:val=""/>
      <w:lvlJc w:val="left"/>
      <w:pPr>
        <w:ind w:left="2160" w:hanging="360"/>
      </w:pPr>
      <w:rPr>
        <w:rFonts w:ascii="Wingdings" w:hAnsi="Wingdings" w:hint="default"/>
      </w:rPr>
    </w:lvl>
    <w:lvl w:ilvl="3" w:tplc="F858F312" w:tentative="1">
      <w:start w:val="1"/>
      <w:numFmt w:val="bullet"/>
      <w:lvlText w:val=""/>
      <w:lvlJc w:val="left"/>
      <w:pPr>
        <w:ind w:left="2880" w:hanging="360"/>
      </w:pPr>
      <w:rPr>
        <w:rFonts w:ascii="Symbol" w:hAnsi="Symbol" w:hint="default"/>
      </w:rPr>
    </w:lvl>
    <w:lvl w:ilvl="4" w:tplc="84288526" w:tentative="1">
      <w:start w:val="1"/>
      <w:numFmt w:val="bullet"/>
      <w:lvlText w:val="o"/>
      <w:lvlJc w:val="left"/>
      <w:pPr>
        <w:ind w:left="3600" w:hanging="360"/>
      </w:pPr>
      <w:rPr>
        <w:rFonts w:ascii="Courier New" w:hAnsi="Courier New" w:hint="default"/>
      </w:rPr>
    </w:lvl>
    <w:lvl w:ilvl="5" w:tplc="96141596" w:tentative="1">
      <w:start w:val="1"/>
      <w:numFmt w:val="bullet"/>
      <w:lvlText w:val=""/>
      <w:lvlJc w:val="left"/>
      <w:pPr>
        <w:ind w:left="4320" w:hanging="360"/>
      </w:pPr>
      <w:rPr>
        <w:rFonts w:ascii="Wingdings" w:hAnsi="Wingdings" w:hint="default"/>
      </w:rPr>
    </w:lvl>
    <w:lvl w:ilvl="6" w:tplc="8F982A3E" w:tentative="1">
      <w:start w:val="1"/>
      <w:numFmt w:val="bullet"/>
      <w:lvlText w:val=""/>
      <w:lvlJc w:val="left"/>
      <w:pPr>
        <w:ind w:left="5040" w:hanging="360"/>
      </w:pPr>
      <w:rPr>
        <w:rFonts w:ascii="Symbol" w:hAnsi="Symbol" w:hint="default"/>
      </w:rPr>
    </w:lvl>
    <w:lvl w:ilvl="7" w:tplc="D0E451CA" w:tentative="1">
      <w:start w:val="1"/>
      <w:numFmt w:val="bullet"/>
      <w:lvlText w:val="o"/>
      <w:lvlJc w:val="left"/>
      <w:pPr>
        <w:ind w:left="5760" w:hanging="360"/>
      </w:pPr>
      <w:rPr>
        <w:rFonts w:ascii="Courier New" w:hAnsi="Courier New" w:hint="default"/>
      </w:rPr>
    </w:lvl>
    <w:lvl w:ilvl="8" w:tplc="2CE0E4CC" w:tentative="1">
      <w:start w:val="1"/>
      <w:numFmt w:val="bullet"/>
      <w:lvlText w:val=""/>
      <w:lvlJc w:val="left"/>
      <w:pPr>
        <w:ind w:left="6480" w:hanging="360"/>
      </w:pPr>
      <w:rPr>
        <w:rFonts w:ascii="Wingdings" w:hAnsi="Wingdings" w:hint="default"/>
      </w:rPr>
    </w:lvl>
  </w:abstractNum>
  <w:abstractNum w:abstractNumId="3">
    <w:nsid w:val="23EF3B59"/>
    <w:multiLevelType w:val="hybridMultilevel"/>
    <w:tmpl w:val="2FF42688"/>
    <w:lvl w:ilvl="0" w:tplc="CBA87020">
      <w:start w:val="1"/>
      <w:numFmt w:val="bullet"/>
      <w:lvlText w:val=""/>
      <w:lvlJc w:val="left"/>
      <w:pPr>
        <w:ind w:left="810" w:hanging="360"/>
      </w:pPr>
      <w:rPr>
        <w:rFonts w:ascii="Symbol" w:hAnsi="Symbol" w:hint="default"/>
      </w:rPr>
    </w:lvl>
    <w:lvl w:ilvl="1" w:tplc="ED988BAE" w:tentative="1">
      <w:start w:val="1"/>
      <w:numFmt w:val="bullet"/>
      <w:lvlText w:val="o"/>
      <w:lvlJc w:val="left"/>
      <w:pPr>
        <w:ind w:left="1530" w:hanging="360"/>
      </w:pPr>
      <w:rPr>
        <w:rFonts w:ascii="Courier New" w:hAnsi="Courier New" w:hint="default"/>
      </w:rPr>
    </w:lvl>
    <w:lvl w:ilvl="2" w:tplc="FBC2D20E" w:tentative="1">
      <w:start w:val="1"/>
      <w:numFmt w:val="bullet"/>
      <w:lvlText w:val=""/>
      <w:lvlJc w:val="left"/>
      <w:pPr>
        <w:ind w:left="2250" w:hanging="360"/>
      </w:pPr>
      <w:rPr>
        <w:rFonts w:ascii="Wingdings" w:hAnsi="Wingdings" w:hint="default"/>
      </w:rPr>
    </w:lvl>
    <w:lvl w:ilvl="3" w:tplc="047684F6" w:tentative="1">
      <w:start w:val="1"/>
      <w:numFmt w:val="bullet"/>
      <w:lvlText w:val=""/>
      <w:lvlJc w:val="left"/>
      <w:pPr>
        <w:ind w:left="2970" w:hanging="360"/>
      </w:pPr>
      <w:rPr>
        <w:rFonts w:ascii="Symbol" w:hAnsi="Symbol" w:hint="default"/>
      </w:rPr>
    </w:lvl>
    <w:lvl w:ilvl="4" w:tplc="52C482EC" w:tentative="1">
      <w:start w:val="1"/>
      <w:numFmt w:val="bullet"/>
      <w:lvlText w:val="o"/>
      <w:lvlJc w:val="left"/>
      <w:pPr>
        <w:ind w:left="3690" w:hanging="360"/>
      </w:pPr>
      <w:rPr>
        <w:rFonts w:ascii="Courier New" w:hAnsi="Courier New" w:hint="default"/>
      </w:rPr>
    </w:lvl>
    <w:lvl w:ilvl="5" w:tplc="4190C33A" w:tentative="1">
      <w:start w:val="1"/>
      <w:numFmt w:val="bullet"/>
      <w:lvlText w:val=""/>
      <w:lvlJc w:val="left"/>
      <w:pPr>
        <w:ind w:left="4410" w:hanging="360"/>
      </w:pPr>
      <w:rPr>
        <w:rFonts w:ascii="Wingdings" w:hAnsi="Wingdings" w:hint="default"/>
      </w:rPr>
    </w:lvl>
    <w:lvl w:ilvl="6" w:tplc="0B2E5216" w:tentative="1">
      <w:start w:val="1"/>
      <w:numFmt w:val="bullet"/>
      <w:lvlText w:val=""/>
      <w:lvlJc w:val="left"/>
      <w:pPr>
        <w:ind w:left="5130" w:hanging="360"/>
      </w:pPr>
      <w:rPr>
        <w:rFonts w:ascii="Symbol" w:hAnsi="Symbol" w:hint="default"/>
      </w:rPr>
    </w:lvl>
    <w:lvl w:ilvl="7" w:tplc="790E7E44" w:tentative="1">
      <w:start w:val="1"/>
      <w:numFmt w:val="bullet"/>
      <w:lvlText w:val="o"/>
      <w:lvlJc w:val="left"/>
      <w:pPr>
        <w:ind w:left="5850" w:hanging="360"/>
      </w:pPr>
      <w:rPr>
        <w:rFonts w:ascii="Courier New" w:hAnsi="Courier New" w:hint="default"/>
      </w:rPr>
    </w:lvl>
    <w:lvl w:ilvl="8" w:tplc="92B2617E" w:tentative="1">
      <w:start w:val="1"/>
      <w:numFmt w:val="bullet"/>
      <w:lvlText w:val=""/>
      <w:lvlJc w:val="left"/>
      <w:pPr>
        <w:ind w:left="6570" w:hanging="360"/>
      </w:pPr>
      <w:rPr>
        <w:rFonts w:ascii="Wingdings" w:hAnsi="Wingdings" w:hint="default"/>
      </w:rPr>
    </w:lvl>
  </w:abstractNum>
  <w:abstractNum w:abstractNumId="4">
    <w:nsid w:val="3E132C51"/>
    <w:multiLevelType w:val="multilevel"/>
    <w:tmpl w:val="035E6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57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3734D29"/>
    <w:multiLevelType w:val="hybridMultilevel"/>
    <w:tmpl w:val="E814DCEC"/>
    <w:lvl w:ilvl="0" w:tplc="58F06E66">
      <w:start w:val="1"/>
      <w:numFmt w:val="bullet"/>
      <w:lvlText w:val=""/>
      <w:lvlJc w:val="left"/>
      <w:pPr>
        <w:ind w:left="810" w:hanging="360"/>
      </w:pPr>
      <w:rPr>
        <w:rFonts w:ascii="Symbol" w:hAnsi="Symbol" w:hint="default"/>
      </w:rPr>
    </w:lvl>
    <w:lvl w:ilvl="1" w:tplc="9F841148" w:tentative="1">
      <w:start w:val="1"/>
      <w:numFmt w:val="bullet"/>
      <w:lvlText w:val="o"/>
      <w:lvlJc w:val="left"/>
      <w:pPr>
        <w:ind w:left="1530" w:hanging="360"/>
      </w:pPr>
      <w:rPr>
        <w:rFonts w:ascii="Courier New" w:hAnsi="Courier New" w:hint="default"/>
      </w:rPr>
    </w:lvl>
    <w:lvl w:ilvl="2" w:tplc="4712EFF4">
      <w:start w:val="1"/>
      <w:numFmt w:val="bullet"/>
      <w:lvlText w:val=""/>
      <w:lvlJc w:val="left"/>
      <w:pPr>
        <w:ind w:left="2250" w:hanging="360"/>
      </w:pPr>
      <w:rPr>
        <w:rFonts w:ascii="Wingdings" w:hAnsi="Wingdings" w:hint="default"/>
      </w:rPr>
    </w:lvl>
    <w:lvl w:ilvl="3" w:tplc="F53817D0" w:tentative="1">
      <w:start w:val="1"/>
      <w:numFmt w:val="bullet"/>
      <w:lvlText w:val=""/>
      <w:lvlJc w:val="left"/>
      <w:pPr>
        <w:ind w:left="2970" w:hanging="360"/>
      </w:pPr>
      <w:rPr>
        <w:rFonts w:ascii="Symbol" w:hAnsi="Symbol" w:hint="default"/>
      </w:rPr>
    </w:lvl>
    <w:lvl w:ilvl="4" w:tplc="E3DCFA52" w:tentative="1">
      <w:start w:val="1"/>
      <w:numFmt w:val="bullet"/>
      <w:lvlText w:val="o"/>
      <w:lvlJc w:val="left"/>
      <w:pPr>
        <w:ind w:left="3690" w:hanging="360"/>
      </w:pPr>
      <w:rPr>
        <w:rFonts w:ascii="Courier New" w:hAnsi="Courier New" w:hint="default"/>
      </w:rPr>
    </w:lvl>
    <w:lvl w:ilvl="5" w:tplc="BB6829F6" w:tentative="1">
      <w:start w:val="1"/>
      <w:numFmt w:val="bullet"/>
      <w:lvlText w:val=""/>
      <w:lvlJc w:val="left"/>
      <w:pPr>
        <w:ind w:left="4410" w:hanging="360"/>
      </w:pPr>
      <w:rPr>
        <w:rFonts w:ascii="Wingdings" w:hAnsi="Wingdings" w:hint="default"/>
      </w:rPr>
    </w:lvl>
    <w:lvl w:ilvl="6" w:tplc="112409E2" w:tentative="1">
      <w:start w:val="1"/>
      <w:numFmt w:val="bullet"/>
      <w:lvlText w:val=""/>
      <w:lvlJc w:val="left"/>
      <w:pPr>
        <w:ind w:left="5130" w:hanging="360"/>
      </w:pPr>
      <w:rPr>
        <w:rFonts w:ascii="Symbol" w:hAnsi="Symbol" w:hint="default"/>
      </w:rPr>
    </w:lvl>
    <w:lvl w:ilvl="7" w:tplc="5E508948" w:tentative="1">
      <w:start w:val="1"/>
      <w:numFmt w:val="bullet"/>
      <w:lvlText w:val="o"/>
      <w:lvlJc w:val="left"/>
      <w:pPr>
        <w:ind w:left="5850" w:hanging="360"/>
      </w:pPr>
      <w:rPr>
        <w:rFonts w:ascii="Courier New" w:hAnsi="Courier New" w:hint="default"/>
      </w:rPr>
    </w:lvl>
    <w:lvl w:ilvl="8" w:tplc="19FC4C26" w:tentative="1">
      <w:start w:val="1"/>
      <w:numFmt w:val="bullet"/>
      <w:lvlText w:val=""/>
      <w:lvlJc w:val="left"/>
      <w:pPr>
        <w:ind w:left="6570" w:hanging="360"/>
      </w:pPr>
      <w:rPr>
        <w:rFonts w:ascii="Wingdings" w:hAnsi="Wingdings" w:hint="default"/>
      </w:rPr>
    </w:lvl>
  </w:abstractNum>
  <w:abstractNum w:abstractNumId="6">
    <w:nsid w:val="4C4532B6"/>
    <w:multiLevelType w:val="hybridMultilevel"/>
    <w:tmpl w:val="6F00E88A"/>
    <w:lvl w:ilvl="0" w:tplc="A9F6EB6C">
      <w:start w:val="1"/>
      <w:numFmt w:val="bullet"/>
      <w:lvlText w:val=""/>
      <w:lvlJc w:val="left"/>
      <w:pPr>
        <w:ind w:left="810" w:hanging="360"/>
      </w:pPr>
      <w:rPr>
        <w:rFonts w:ascii="Symbol" w:hAnsi="Symbol" w:hint="default"/>
      </w:rPr>
    </w:lvl>
    <w:lvl w:ilvl="1" w:tplc="4964F6AE" w:tentative="1">
      <w:start w:val="1"/>
      <w:numFmt w:val="bullet"/>
      <w:lvlText w:val="o"/>
      <w:lvlJc w:val="left"/>
      <w:pPr>
        <w:ind w:left="1530" w:hanging="360"/>
      </w:pPr>
      <w:rPr>
        <w:rFonts w:ascii="Courier New" w:hAnsi="Courier New" w:hint="default"/>
      </w:rPr>
    </w:lvl>
    <w:lvl w:ilvl="2" w:tplc="38405A9E" w:tentative="1">
      <w:start w:val="1"/>
      <w:numFmt w:val="bullet"/>
      <w:lvlText w:val=""/>
      <w:lvlJc w:val="left"/>
      <w:pPr>
        <w:ind w:left="2250" w:hanging="360"/>
      </w:pPr>
      <w:rPr>
        <w:rFonts w:ascii="Wingdings" w:hAnsi="Wingdings" w:hint="default"/>
      </w:rPr>
    </w:lvl>
    <w:lvl w:ilvl="3" w:tplc="B2448DD2" w:tentative="1">
      <w:start w:val="1"/>
      <w:numFmt w:val="bullet"/>
      <w:lvlText w:val=""/>
      <w:lvlJc w:val="left"/>
      <w:pPr>
        <w:ind w:left="2970" w:hanging="360"/>
      </w:pPr>
      <w:rPr>
        <w:rFonts w:ascii="Symbol" w:hAnsi="Symbol" w:hint="default"/>
      </w:rPr>
    </w:lvl>
    <w:lvl w:ilvl="4" w:tplc="259674F4" w:tentative="1">
      <w:start w:val="1"/>
      <w:numFmt w:val="bullet"/>
      <w:lvlText w:val="o"/>
      <w:lvlJc w:val="left"/>
      <w:pPr>
        <w:ind w:left="3690" w:hanging="360"/>
      </w:pPr>
      <w:rPr>
        <w:rFonts w:ascii="Courier New" w:hAnsi="Courier New" w:hint="default"/>
      </w:rPr>
    </w:lvl>
    <w:lvl w:ilvl="5" w:tplc="34B0A67C" w:tentative="1">
      <w:start w:val="1"/>
      <w:numFmt w:val="bullet"/>
      <w:lvlText w:val=""/>
      <w:lvlJc w:val="left"/>
      <w:pPr>
        <w:ind w:left="4410" w:hanging="360"/>
      </w:pPr>
      <w:rPr>
        <w:rFonts w:ascii="Wingdings" w:hAnsi="Wingdings" w:hint="default"/>
      </w:rPr>
    </w:lvl>
    <w:lvl w:ilvl="6" w:tplc="4E42BB50" w:tentative="1">
      <w:start w:val="1"/>
      <w:numFmt w:val="bullet"/>
      <w:lvlText w:val=""/>
      <w:lvlJc w:val="left"/>
      <w:pPr>
        <w:ind w:left="5130" w:hanging="360"/>
      </w:pPr>
      <w:rPr>
        <w:rFonts w:ascii="Symbol" w:hAnsi="Symbol" w:hint="default"/>
      </w:rPr>
    </w:lvl>
    <w:lvl w:ilvl="7" w:tplc="6D48ECBA" w:tentative="1">
      <w:start w:val="1"/>
      <w:numFmt w:val="bullet"/>
      <w:lvlText w:val="o"/>
      <w:lvlJc w:val="left"/>
      <w:pPr>
        <w:ind w:left="5850" w:hanging="360"/>
      </w:pPr>
      <w:rPr>
        <w:rFonts w:ascii="Courier New" w:hAnsi="Courier New" w:hint="default"/>
      </w:rPr>
    </w:lvl>
    <w:lvl w:ilvl="8" w:tplc="3E3CFDEA" w:tentative="1">
      <w:start w:val="1"/>
      <w:numFmt w:val="bullet"/>
      <w:lvlText w:val=""/>
      <w:lvlJc w:val="left"/>
      <w:pPr>
        <w:ind w:left="6570" w:hanging="360"/>
      </w:pPr>
      <w:rPr>
        <w:rFonts w:ascii="Wingdings" w:hAnsi="Wingdings" w:hint="default"/>
      </w:rPr>
    </w:lvl>
  </w:abstractNum>
  <w:abstractNum w:abstractNumId="7">
    <w:nsid w:val="6E6E4DB3"/>
    <w:multiLevelType w:val="hybridMultilevel"/>
    <w:tmpl w:val="0726840A"/>
    <w:lvl w:ilvl="0" w:tplc="1BDC4B54">
      <w:start w:val="1"/>
      <w:numFmt w:val="bullet"/>
      <w:lvlText w:val=""/>
      <w:lvlJc w:val="left"/>
      <w:pPr>
        <w:ind w:left="2088" w:hanging="360"/>
      </w:pPr>
      <w:rPr>
        <w:rFonts w:ascii="Symbol" w:hAnsi="Symbol" w:hint="default"/>
      </w:rPr>
    </w:lvl>
    <w:lvl w:ilvl="1" w:tplc="27B21D80">
      <w:start w:val="1"/>
      <w:numFmt w:val="bullet"/>
      <w:lvlText w:val="o"/>
      <w:lvlJc w:val="left"/>
      <w:pPr>
        <w:ind w:left="2808" w:hanging="360"/>
      </w:pPr>
      <w:rPr>
        <w:rFonts w:ascii="Courier New" w:hAnsi="Courier New" w:hint="default"/>
      </w:rPr>
    </w:lvl>
    <w:lvl w:ilvl="2" w:tplc="3CC0DF12" w:tentative="1">
      <w:start w:val="1"/>
      <w:numFmt w:val="bullet"/>
      <w:lvlText w:val=""/>
      <w:lvlJc w:val="left"/>
      <w:pPr>
        <w:ind w:left="3528" w:hanging="360"/>
      </w:pPr>
      <w:rPr>
        <w:rFonts w:ascii="Wingdings" w:hAnsi="Wingdings" w:hint="default"/>
      </w:rPr>
    </w:lvl>
    <w:lvl w:ilvl="3" w:tplc="74569D98" w:tentative="1">
      <w:start w:val="1"/>
      <w:numFmt w:val="bullet"/>
      <w:lvlText w:val=""/>
      <w:lvlJc w:val="left"/>
      <w:pPr>
        <w:ind w:left="4248" w:hanging="360"/>
      </w:pPr>
      <w:rPr>
        <w:rFonts w:ascii="Symbol" w:hAnsi="Symbol" w:hint="default"/>
      </w:rPr>
    </w:lvl>
    <w:lvl w:ilvl="4" w:tplc="62FAA80E" w:tentative="1">
      <w:start w:val="1"/>
      <w:numFmt w:val="bullet"/>
      <w:lvlText w:val="o"/>
      <w:lvlJc w:val="left"/>
      <w:pPr>
        <w:ind w:left="4968" w:hanging="360"/>
      </w:pPr>
      <w:rPr>
        <w:rFonts w:ascii="Courier New" w:hAnsi="Courier New" w:hint="default"/>
      </w:rPr>
    </w:lvl>
    <w:lvl w:ilvl="5" w:tplc="90988884" w:tentative="1">
      <w:start w:val="1"/>
      <w:numFmt w:val="bullet"/>
      <w:lvlText w:val=""/>
      <w:lvlJc w:val="left"/>
      <w:pPr>
        <w:ind w:left="5688" w:hanging="360"/>
      </w:pPr>
      <w:rPr>
        <w:rFonts w:ascii="Wingdings" w:hAnsi="Wingdings" w:hint="default"/>
      </w:rPr>
    </w:lvl>
    <w:lvl w:ilvl="6" w:tplc="B608F606" w:tentative="1">
      <w:start w:val="1"/>
      <w:numFmt w:val="bullet"/>
      <w:lvlText w:val=""/>
      <w:lvlJc w:val="left"/>
      <w:pPr>
        <w:ind w:left="6408" w:hanging="360"/>
      </w:pPr>
      <w:rPr>
        <w:rFonts w:ascii="Symbol" w:hAnsi="Symbol" w:hint="default"/>
      </w:rPr>
    </w:lvl>
    <w:lvl w:ilvl="7" w:tplc="D85CDF50" w:tentative="1">
      <w:start w:val="1"/>
      <w:numFmt w:val="bullet"/>
      <w:lvlText w:val="o"/>
      <w:lvlJc w:val="left"/>
      <w:pPr>
        <w:ind w:left="7128" w:hanging="360"/>
      </w:pPr>
      <w:rPr>
        <w:rFonts w:ascii="Courier New" w:hAnsi="Courier New" w:hint="default"/>
      </w:rPr>
    </w:lvl>
    <w:lvl w:ilvl="8" w:tplc="B9EAB998" w:tentative="1">
      <w:start w:val="1"/>
      <w:numFmt w:val="bullet"/>
      <w:lvlText w:val=""/>
      <w:lvlJc w:val="left"/>
      <w:pPr>
        <w:ind w:left="7848" w:hanging="360"/>
      </w:pPr>
      <w:rPr>
        <w:rFonts w:ascii="Wingdings" w:hAnsi="Wingdings" w:hint="default"/>
      </w:rPr>
    </w:lvl>
  </w:abstractNum>
  <w:abstractNum w:abstractNumId="8">
    <w:nsid w:val="7A4C008E"/>
    <w:multiLevelType w:val="hybridMultilevel"/>
    <w:tmpl w:val="CCB61FCA"/>
    <w:lvl w:ilvl="0" w:tplc="94BC5812">
      <w:start w:val="1"/>
      <w:numFmt w:val="bullet"/>
      <w:lvlText w:val=""/>
      <w:lvlJc w:val="left"/>
      <w:pPr>
        <w:ind w:left="360" w:hanging="360"/>
      </w:pPr>
      <w:rPr>
        <w:rFonts w:ascii="Symbol" w:hAnsi="Symbol" w:hint="default"/>
      </w:rPr>
    </w:lvl>
    <w:lvl w:ilvl="1" w:tplc="15FCD6D6" w:tentative="1">
      <w:start w:val="1"/>
      <w:numFmt w:val="bullet"/>
      <w:lvlText w:val="o"/>
      <w:lvlJc w:val="left"/>
      <w:pPr>
        <w:ind w:left="1080" w:hanging="360"/>
      </w:pPr>
      <w:rPr>
        <w:rFonts w:ascii="Courier New" w:hAnsi="Courier New" w:hint="default"/>
      </w:rPr>
    </w:lvl>
    <w:lvl w:ilvl="2" w:tplc="5576FFCC" w:tentative="1">
      <w:start w:val="1"/>
      <w:numFmt w:val="bullet"/>
      <w:lvlText w:val=""/>
      <w:lvlJc w:val="left"/>
      <w:pPr>
        <w:ind w:left="1800" w:hanging="360"/>
      </w:pPr>
      <w:rPr>
        <w:rFonts w:ascii="Wingdings" w:hAnsi="Wingdings" w:hint="default"/>
      </w:rPr>
    </w:lvl>
    <w:lvl w:ilvl="3" w:tplc="D06AF6C4" w:tentative="1">
      <w:start w:val="1"/>
      <w:numFmt w:val="bullet"/>
      <w:lvlText w:val=""/>
      <w:lvlJc w:val="left"/>
      <w:pPr>
        <w:ind w:left="2520" w:hanging="360"/>
      </w:pPr>
      <w:rPr>
        <w:rFonts w:ascii="Symbol" w:hAnsi="Symbol" w:hint="default"/>
      </w:rPr>
    </w:lvl>
    <w:lvl w:ilvl="4" w:tplc="61883666" w:tentative="1">
      <w:start w:val="1"/>
      <w:numFmt w:val="bullet"/>
      <w:lvlText w:val="o"/>
      <w:lvlJc w:val="left"/>
      <w:pPr>
        <w:ind w:left="3240" w:hanging="360"/>
      </w:pPr>
      <w:rPr>
        <w:rFonts w:ascii="Courier New" w:hAnsi="Courier New" w:hint="default"/>
      </w:rPr>
    </w:lvl>
    <w:lvl w:ilvl="5" w:tplc="6772EDC6" w:tentative="1">
      <w:start w:val="1"/>
      <w:numFmt w:val="bullet"/>
      <w:lvlText w:val=""/>
      <w:lvlJc w:val="left"/>
      <w:pPr>
        <w:ind w:left="3960" w:hanging="360"/>
      </w:pPr>
      <w:rPr>
        <w:rFonts w:ascii="Wingdings" w:hAnsi="Wingdings" w:hint="default"/>
      </w:rPr>
    </w:lvl>
    <w:lvl w:ilvl="6" w:tplc="48266922" w:tentative="1">
      <w:start w:val="1"/>
      <w:numFmt w:val="bullet"/>
      <w:lvlText w:val=""/>
      <w:lvlJc w:val="left"/>
      <w:pPr>
        <w:ind w:left="4680" w:hanging="360"/>
      </w:pPr>
      <w:rPr>
        <w:rFonts w:ascii="Symbol" w:hAnsi="Symbol" w:hint="default"/>
      </w:rPr>
    </w:lvl>
    <w:lvl w:ilvl="7" w:tplc="CE0AD71A" w:tentative="1">
      <w:start w:val="1"/>
      <w:numFmt w:val="bullet"/>
      <w:lvlText w:val="o"/>
      <w:lvlJc w:val="left"/>
      <w:pPr>
        <w:ind w:left="5400" w:hanging="360"/>
      </w:pPr>
      <w:rPr>
        <w:rFonts w:ascii="Courier New" w:hAnsi="Courier New" w:hint="default"/>
      </w:rPr>
    </w:lvl>
    <w:lvl w:ilvl="8" w:tplc="B35663C2"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D"/>
    <w:rsid w:val="002F41ED"/>
    <w:rsid w:val="00835008"/>
    <w:rsid w:val="00EB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D4EFDD8-08C4-469D-8084-C855D94B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F4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1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F41ED"/>
    <w:rPr>
      <w:rFonts w:ascii="Times New Roman" w:eastAsia="Times New Roman" w:hAnsi="Times New Roman" w:cs="Times New Roman"/>
      <w:sz w:val="24"/>
      <w:szCs w:val="24"/>
    </w:rPr>
  </w:style>
  <w:style w:type="table" w:styleId="TableGrid">
    <w:name w:val="Table Grid"/>
    <w:basedOn w:val="TableNormal"/>
    <w:uiPriority w:val="59"/>
    <w:rsid w:val="002F41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1ED"/>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2F41E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web.crhc.org/docview/?docid=275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licyweb.crhc.org/docview/?docid=653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web.crhc.org/docview/?docid=653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Concord Regional VNA</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Cutter</dc:creator>
  <cp:keywords/>
  <dc:description/>
  <cp:lastModifiedBy>Erin Cutter</cp:lastModifiedBy>
  <cp:revision>3</cp:revision>
  <dcterms:created xsi:type="dcterms:W3CDTF">2020-03-05T21:26:00Z</dcterms:created>
  <dcterms:modified xsi:type="dcterms:W3CDTF">2020-03-05T21:33:00Z</dcterms:modified>
</cp:coreProperties>
</file>